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sectPr>
    <w:p>
      <w:pPr>
        <w:spacing w:lineRule="auto"/>
      </w:pPr>
      <w:r>
        <w:rPr/>
        <w:t xml:space="preserve"/>
      </w:r>
    </w:p>
    <w:p>
      <w:pPr>
        <w:spacing w:lineRule="auto"/>
      </w:pPr>
      <w:r>
        <w:rPr/>
        <w:t xml:space="preserve">Lakeside Financial</w:t>
      </w:r>
    </w:p>
    <w:p>
      <w:pPr>
        <w:spacing w:lineRule="auto"/>
      </w:pPr>
      <w:r>
        <w:rPr/>
        <w:t xml:space="preserve">Advice for life — Prepared for Michael &amp; Joanne Williams</w:t>
      </w:r>
    </w:p>
    <w:p>
      <w:pPr>
        <w:spacing w:lineRule="auto"/>
      </w:pPr>
      <w:r>
        <w:rPr/>
        <w:t xml:space="preserve">Comprehensive Financial Strategy Paper</w:t>
      </w:r>
    </w:p>
    <w:p>
      <w:pPr>
        <w:spacing w:lineRule="auto"/>
      </w:pPr>
      <w:r>
        <w:rPr/>
        <w:t xml:space="preserve">June 4, 2026</w:t>
      </w:r>
    </w:p>
    <w:p>
      <w:pPr>
        <w:pStyle w:val="Heading1"/>
        <w:spacing w:lineRule="auto"/>
      </w:pPr>
      <w:r>
        <w:rPr>
          <w:color w:val="4C9A2A"/>
          <w:rFonts w:ascii="Helvetica" w:hAnsi="Helvetica"/>
          <w:sz w:val="33"/>
        </w:rPr>
        <w:t xml:space="preserve">Comprehensive Financial Strategy Paper</w:t>
      </w:r>
    </w:p>
    <w:p>
      <w:pPr>
        <w:pStyle w:val="Heading3"/>
        <w:spacing w:lineRule="auto"/>
      </w:pPr>
      <w:r>
        <w:rPr>
          <w:color w:val="333333"/>
          <w:rFonts w:ascii="Helvetica" w:hAnsi="Helvetica"/>
          <w:sz w:val="21"/>
        </w:rPr>
        <w:t xml:space="preserve">Retirement, Superannuation, Property &amp; Estate Planning</w:t>
      </w:r>
    </w:p>
    <w:p>
      <w:pPr>
        <w:spacing w:lineRule="auto"/>
      </w:pPr>
      <w:r>
        <w:rPr>
          <w:b/>
        </w:rPr>
        <w:t xml:space="preserve">Prepared for</w:t>
      </w:r>
    </w:p>
    <w:p>
      <w:pPr>
        <w:pStyle w:val="Heading2"/>
        <w:spacing w:lineRule="auto"/>
      </w:pPr>
      <w:r>
        <w:rPr>
          <w:color w:val="4C9A2A"/>
          <w:rFonts w:ascii="Helvetica" w:hAnsi="Helvetica"/>
          <w:sz w:val="26"/>
        </w:rPr>
        <w:t xml:space="preserve">Michael &amp; Joanne Williams</w:t>
      </w:r>
    </w:p>
    <w:p>
      <w:pPr>
        <w:spacing w:lineRule="auto"/>
      </w:pPr>
      <w:r>
        <w:rPr/>
        <w:t xml:space="preserve">Prepared: 04 June 2026 Adviser: Tristan Biro Lakeside Financial Pty Ltd</w:t>
      </w:r>
    </w:p>
    <w:p>
      <w:pPr>
        <w:ind w:left="284"/>
        <w:jc w:val="both"/>
        <w:spacing w:lineRule="auto"/>
      </w:pPr>
      <w:r>
        <w:rPr>
          <w:b/>
        </w:rPr>
        <w:t xml:space="preserve">Scope —</w:t>
      </w:r>
      <w:r>
        <w:rPr/>
        <w:t xml:space="preserve"> This paper sets out a comprehensive strategy view across retirement, superannuation, property, investment and estate planning for the Williams household. It is a </w:t>
      </w:r>
      <w:r>
        <w:rPr/>
        <w:t xml:space="preserve">strategy / discussion paper</w:t>
      </w:r>
      <w:r>
        <w:rPr/>
        <w:t xml:space="preserve"> prepared for adviser review — it is </w:t>
      </w:r>
      <w:r>
        <w:rPr>
          <w:b/>
        </w:rPr>
        <w:t xml:space="preserve">not</w:t>
      </w:r>
      <w:r>
        <w:rPr/>
        <w:t xml:space="preserve"> a Statement of Advice. All indicative figures are based on the documents provided (Client Profile, JEMJ Williams Superannuation Fund 2025 financial statements, Michael's 2025 income tax return, and the email correspondence chain of March–May 2026). Items marked </w:t>
      </w:r>
      <w:r>
        <w:rPr>
          <w:b/>
        </w:rPr>
        <w:t xml:space="preserve">[TO CONFIRM]</w:t>
      </w:r>
      <w:r>
        <w:rPr/>
        <w:t xml:space="preserve"> require verification before any formal SOA is issued. Tax law cited reflects FY26 thresholds; future-year strategies assume current legislation continues.</w:t>
      </w:r>
    </w:p>
    <w:p>
      <w:pPr>
        <w:ind w:left="284"/>
        <w:jc w:val="both"/>
        <w:spacing w:lineRule="auto"/>
      </w:pPr>
      <w:r>
        <w:rPr>
          <w:b/>
        </w:rPr>
        <w:t xml:space="preserve">Health-sensitivity note —</w:t>
      </w:r>
      <w:r>
        <w:rPr/>
        <w:t xml:space="preserve"> Michael has been diagnosed with leukaemia and is on a clinical trial reported as responding well. This single fact reorders the entire plan: enduring powers of attorney, binding death nominations, updated testamentary Wills and retention of existing life cover become the </w:t>
      </w:r>
      <w:r>
        <w:rPr>
          <w:b/>
        </w:rPr>
        <w:t xml:space="preserve">highest priority</w:t>
      </w:r>
      <w:r>
        <w:rPr/>
        <w:t xml:space="preserve">, ahead of every accumulation strategy. Several recommendations are urgent for that reason.</w:t>
      </w:r>
    </w:p>
    <w:p>
      <w:pPr>
        <w:pStyle w:val="Heading2"/>
        <w:spacing w:lineRule="auto"/>
      </w:pPr>
      <w:r>
        <w:rPr>
          <w:color w:val="4C9A2A"/>
          <w:rFonts w:ascii="Helvetica" w:hAnsi="Helvetica"/>
          <w:sz w:val="26"/>
        </w:rPr>
        <w:t xml:space="preserve">1. Executive summary</w:t>
      </w:r>
    </w:p>
    <w:p>
      <w:pPr>
        <w:spacing w:lineRule="auto"/>
      </w:pPr>
      <w:r>
        <w:rPr/>
        <w:t xml:space="preserve">Michael (67) and Joanne (65) are an Australian-resident married couple in Menzies Creek, Victoria. Michael was the household's primary earner as a Commissioning Engineer at AusNet Services (FY25 taxable income </w:t>
      </w:r>
      <w:r>
        <w:rPr>
          <w:b/>
        </w:rPr>
        <w:t xml:space="preserve">$192,689</w:t>
      </w:r>
      <w:r>
        <w:rPr/>
        <w:t xml:space="preserve">) but, following a leukaemia diagnosis and </w:t>
      </w:r>
      <w:r>
        <w:rPr/>
        <w:t xml:space="preserve">6 months of sick leave, has reduced to </w:t>
      </w:r>
      <w:r>
        <w:rPr>
          <w:b/>
        </w:rPr>
        <w:t xml:space="preserve">three days per week</w:t>
      </w:r>
      <w:r>
        <w:rPr/>
        <w:t xml:space="preserve"> — income now ~</w:t>
      </w:r>
      <w:r>
        <w:rPr>
          <w:b/>
        </w:rPr>
        <w:t xml:space="preserve">$117,000 p.a.</w:t>
      </w:r>
      <w:r>
        <w:rPr/>
        <w:t xml:space="preserve"> Joanne continues contract work at ~</w:t>
      </w:r>
      <w:r>
        <w:rPr>
          <w:b/>
        </w:rPr>
        <w:t xml:space="preserve">$23,400–$25,000 p.a.</w:t>
      </w:r>
      <w:r>
        <w:rPr/>
        <w:t xml:space="preserve"> The household is </w:t>
      </w:r>
      <w:r>
        <w:rPr>
          <w:b/>
        </w:rPr>
        <w:t xml:space="preserve">debt-free</w:t>
      </w:r>
      <w:r>
        <w:rPr/>
        <w:t xml:space="preserve">, owns its home outright (</w:t>
      </w:r>
      <w:r>
        <w:rPr/>
        <w:t xml:space="preserve">$1.2M, </w:t>
      </w:r>
      <w:r>
        <w:rPr/>
        <w:t xml:space="preserve">10 acres at Menzies Creek), and holds most of its investable wealth in the </w:t>
      </w:r>
      <w:r>
        <w:rPr>
          <w:b/>
        </w:rPr>
        <w:t xml:space="preserve">JEMJ Williams SMSF</w:t>
      </w:r>
      <w:r>
        <w:rPr/>
        <w:t xml:space="preserve"> (</w:t>
      </w:r>
      <w:r>
        <w:rPr/>
        <w:t xml:space="preserve">$649,600).</w:t>
      </w:r>
    </w:p>
    <w:p>
      <w:pPr>
        <w:spacing w:lineRule="auto"/>
      </w:pPr>
      <w:r>
        <w:rPr/>
        <w:t xml:space="preserve">Both members are </w:t>
      </w:r>
      <w:r>
        <w:rPr>
          <w:b/>
        </w:rPr>
        <w:t xml:space="preserve">over 65</w:t>
      </w:r>
      <w:r>
        <w:rPr/>
        <w:t xml:space="preserve"> — they have already satisfied a full condition of release, so </w:t>
      </w:r>
      <w:r>
        <w:rPr>
          <w:b/>
        </w:rPr>
        <w:t xml:space="preserve">every age-dependent super lever is available now</w:t>
      </w:r>
      <w:r>
        <w:rPr/>
        <w:t xml:space="preserve">: tax-free withdrawals, account-based pensions, and downsizer contributions. The headline goals are a </w:t>
      </w:r>
      <w:r>
        <w:rPr>
          <w:b/>
        </w:rPr>
        <w:t xml:space="preserve">~$75,000 p.a.</w:t>
      </w:r>
      <w:r>
        <w:rPr/>
        <w:t xml:space="preserve"> retirement income and to </w:t>
      </w:r>
      <w:r>
        <w:rPr>
          <w:b/>
        </w:rPr>
        <w:t xml:space="preserve">downsize the Menzies Creek property within 1–2 years</w:t>
      </w:r>
      <w:r>
        <w:rPr/>
        <w:t xml:space="preserve">, with "holidays — always."</w:t>
      </w:r>
    </w:p>
    <w:p>
      <w:pPr>
        <w:pStyle w:val="Heading3"/>
        <w:spacing w:lineRule="auto"/>
      </w:pPr>
      <w:r>
        <w:rPr>
          <w:color w:val="333333"/>
          <w:rFonts w:ascii="Helvetica" w:hAnsi="Helvetica"/>
          <w:sz w:val="21"/>
        </w:rPr>
        <w:t xml:space="preserve">Reconciled household balance sheet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 65 Magpie Road, Menzies Creek (~10 acres)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Unencumbered (bank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 Macquarie joint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(outside super)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 Michael's member 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$576,703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 member statement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 Joanne's member 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$72,897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 member statement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assets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≈$1,949,600</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Matches Client Profile "$1,949,000"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liabilities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Debt-free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Net wealth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≈$1,949,600</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ind w:left="284"/>
        <w:jc w:val="both"/>
        <w:spacing w:lineRule="auto"/>
      </w:pPr>
      <w:r>
        <w:rPr>
          <w:b/>
        </w:rPr>
        <w:t xml:space="preserve">Reconciliation note —</w:t>
      </w:r>
      <w:r>
        <w:rPr/>
        <w:t xml:space="preserve"> The 3 March 2026 meeting summary describes "shareholdings of </w:t>
      </w:r>
      <w:r>
        <w:rPr/>
        <w:t xml:space="preserve">$250,000 (Bell Potter, est. 1995 — CBA overweight ~$90k, plus AGL/ANZ/BHP)" and "</w:t>
      </w:r>
      <w:r>
        <w:rPr/>
        <w:t xml:space="preserve">$450,000 cash plus $100,000 Macquarie." Cross-checked against the SMSF financial statements, the </w:t>
      </w:r>
      <w:r>
        <w:rPr>
          <w:b/>
        </w:rPr>
        <w:t xml:space="preserve">$250k of shares and ~$450k of cash sit INSIDE the SMSF</w:t>
      </w:r>
      <w:r>
        <w:rPr/>
        <w:t xml:space="preserve"> (the fund holds $248,413 listed shares + $410,214 cash). The only personal (non-super) cash is the </w:t>
      </w:r>
      <w:r>
        <w:rPr>
          <w:b/>
        </w:rPr>
        <w:t xml:space="preserve">$100,000 Macquarie joint account</w:t>
      </w:r>
      <w:r>
        <w:rPr/>
        <w:t xml:space="preserve"> — corroborated by Michael's tax return, which shows just </w:t>
      </w:r>
      <w:r>
        <w:rPr>
          <w:b/>
        </w:rPr>
        <w:t xml:space="preserve">$129</w:t>
      </w:r>
      <w:r>
        <w:rPr/>
        <w:t xml:space="preserve"> of personal interest income for the year. </w:t>
      </w:r>
      <w:r>
        <w:rPr>
          <w:b/>
        </w:rPr>
        <w:t xml:space="preserve">[TO CONFIRM]</w:t>
      </w:r>
      <w:r>
        <w:rPr/>
        <w:t xml:space="preserve"> there are no additional personal term deposits outside super.</w:t>
      </w:r>
    </w:p>
    <w:p>
      <w:pPr>
        <w:pStyle w:val="Heading3"/>
        <w:spacing w:lineRule="auto"/>
      </w:pPr>
      <w:r>
        <w:rPr>
          <w:color w:val="333333"/>
          <w:rFonts w:ascii="Helvetica" w:hAnsi="Helvetica"/>
          <w:sz w:val="21"/>
        </w:rPr>
        <w:t xml:space="preserve">Strategy levers ranked</w:t>
      </w:r>
    </w:p>
    <w:p>
      <w:pPr>
        <w:numPr>
          <w:ilvl w:val="0"/>
          <w:numId w:val="1"/>
        </w:numPr>
        <w:spacing w:lineRule="auto"/>
      </w:pPr>
      <w:r>
        <w:rPr>
          <w:b/>
        </w:rPr>
        <w:t xml:space="preserve">Strategy 1 — Enduring Powers of Attorney &amp; medical decision-makers [URGENT].</w:t>
      </w:r>
      <w:r>
        <w:rPr/>
        <w:t xml:space="preserve"> None are in place. Given Michael's health, this is the single most pressing action — and it also protects the SMSF trusteeship if capacity is lost.</w:t>
      </w:r>
    </w:p>
    <w:p>
      <w:pPr>
        <w:numPr>
          <w:ilvl w:val="0"/>
          <w:numId w:val="1"/>
        </w:numPr>
        <w:spacing w:lineRule="auto"/>
      </w:pPr>
      <w:r>
        <w:rPr>
          <w:b/>
        </w:rPr>
        <w:t xml:space="preserve">Strategy 2 — Binding death benefit nominations on the SMSF [URGENT].</w:t>
      </w:r>
      <w:r>
        <w:rPr/>
        <w:t xml:space="preserve"> Super does not pass under a Will. Without valid nominations directing benefits (spouse first, then the estate/testamentary trust), the death benefit is at trustee discretion and may bypass the new estate structure.</w:t>
      </w:r>
    </w:p>
    <w:p>
      <w:pPr>
        <w:numPr>
          <w:ilvl w:val="0"/>
          <w:numId w:val="1"/>
        </w:numPr>
        <w:spacing w:lineRule="auto"/>
      </w:pPr>
      <w:r>
        <w:rPr>
          <w:b/>
        </w:rPr>
        <w:t xml:space="preserve">Strategy 3 — Testamentary Trust Wills [URGENT — in progress].</w:t>
      </w:r>
      <w:r>
        <w:rPr/>
        <w:t xml:space="preserve"> Replacing the 2005 basic Wills; already underway with Doug Patrick (Lakeside Lawyers, ~$4,000+GST).</w:t>
      </w:r>
    </w:p>
    <w:p>
      <w:pPr>
        <w:numPr>
          <w:ilvl w:val="0"/>
          <w:numId w:val="1"/>
        </w:numPr>
        <w:spacing w:lineRule="auto"/>
      </w:pPr>
      <w:r>
        <w:rPr>
          <w:b/>
        </w:rPr>
        <w:t xml:space="preserve">Strategy 4 — Commence account-based pensions.</w:t>
      </w:r>
      <w:r>
        <w:rPr/>
        <w:t xml:space="preserve"> Both 65+ → move the SMSF into </w:t>
      </w:r>
      <w:r>
        <w:rPr>
          <w:b/>
        </w:rPr>
        <w:t xml:space="preserve">pension phase</w:t>
      </w:r>
      <w:r>
        <w:rPr/>
        <w:t xml:space="preserve">, making fund earnings </w:t>
      </w:r>
      <w:r>
        <w:rPr>
          <w:b/>
        </w:rPr>
        <w:t xml:space="preserve">tax-free (0% vs 15%)</w:t>
      </w:r>
      <w:r>
        <w:rPr/>
        <w:t xml:space="preserve">, well within each $2.0M Transfer Balance Cap. Shelters ~$47,000 of annual earnings.</w:t>
      </w:r>
    </w:p>
    <w:p>
      <w:pPr>
        <w:numPr>
          <w:ilvl w:val="0"/>
          <w:numId w:val="1"/>
        </w:numPr>
        <w:spacing w:lineRule="auto"/>
      </w:pPr>
      <w:r>
        <w:rPr>
          <w:b/>
        </w:rPr>
        <w:t xml:space="preserve">Strategy 5 — Downsizer contributions on the home sale.</w:t>
      </w:r>
      <w:r>
        <w:rPr/>
        <w:t xml:space="preserve"> Up to </w:t>
      </w:r>
      <w:r>
        <w:rPr>
          <w:b/>
        </w:rPr>
        <w:t xml:space="preserve">$300,000 each ($600,000 combined)</w:t>
      </w:r>
      <w:r>
        <w:rPr/>
        <w:t xml:space="preserve">, outside the contribution caps. The </w:t>
      </w:r>
      <w:r>
        <w:rPr>
          <w:b/>
        </w:rPr>
        <w:t xml:space="preserve">load-bearing decision</w:t>
      </w:r>
      <w:r>
        <w:rPr/>
        <w:t xml:space="preserve"> that funds the $75k target.</w:t>
      </w:r>
    </w:p>
    <w:p>
      <w:pPr>
        <w:numPr>
          <w:ilvl w:val="0"/>
          <w:numId w:val="1"/>
        </w:numPr>
        <w:spacing w:lineRule="auto"/>
      </w:pPr>
      <w:r>
        <w:rPr>
          <w:b/>
        </w:rPr>
        <w:t xml:space="preserve">Strategy 6 — Re-contribution to lift the tax-free component.</w:t>
      </w:r>
      <w:r>
        <w:rPr/>
        <w:t xml:space="preserve"> Luke and Brittany are adult non-dependants → taxable-component death benefits taxed up to 17%. Re-contribution can save ~$60,000+ of eventual death-benefits tax.</w:t>
      </w:r>
    </w:p>
    <w:p>
      <w:pPr>
        <w:numPr>
          <w:ilvl w:val="0"/>
          <w:numId w:val="1"/>
        </w:numPr>
        <w:spacing w:lineRule="auto"/>
      </w:pPr>
      <w:r>
        <w:rPr>
          <w:b/>
        </w:rPr>
        <w:t xml:space="preserve">Strategy 7 — Cancel Michael's $300,000 TPD; retain the $600,000 Life cover.</w:t>
      </w:r>
      <w:r>
        <w:rPr/>
        <w:t xml:space="preserve"> TPD is likely an "ADL" definition draining the SMSF (~$12,467 p.a.); Life is irreplaceable given the diagnosis — retain it.</w:t>
      </w:r>
    </w:p>
    <w:p>
      <w:pPr>
        <w:numPr>
          <w:ilvl w:val="0"/>
          <w:numId w:val="1"/>
        </w:numPr>
        <w:spacing w:lineRule="auto"/>
      </w:pPr>
      <w:r>
        <w:rPr>
          <w:b/>
        </w:rPr>
        <w:t xml:space="preserve">Strategy 8 — SMSF structure decision (retain vs wind up).</w:t>
      </w:r>
      <w:r>
        <w:rPr/>
        <w:t xml:space="preserve"> A significant, conflict-sensitive choice to make on its merits (cost, control, administration), separate from re-weighting.</w:t>
      </w:r>
    </w:p>
    <w:p>
      <w:pPr>
        <w:numPr>
          <w:ilvl w:val="0"/>
          <w:numId w:val="1"/>
        </w:numPr>
        <w:spacing w:lineRule="auto"/>
      </w:pPr>
      <w:r>
        <w:rPr>
          <w:b/>
        </w:rPr>
        <w:t xml:space="preserve">Strategy 9 — De-risk the SMSF allocation.</w:t>
      </w:r>
      <w:r>
        <w:rPr/>
        <w:t xml:space="preserve"> ~60–65% cash is too defensive for a 25–30 year horizon; trim the CBA overweight; adopt a bucket strategy.</w:t>
      </w:r>
    </w:p>
    <w:p>
      <w:pPr>
        <w:numPr>
          <w:ilvl w:val="0"/>
          <w:numId w:val="1"/>
        </w:numPr>
        <w:spacing w:lineRule="auto"/>
      </w:pPr>
      <w:r>
        <w:rPr>
          <w:b/>
        </w:rPr>
        <w:t xml:space="preserve">Strategy 10 — Concessional contributions while Michael works.</w:t>
      </w:r>
      <w:r>
        <w:rPr/>
        <w:t xml:space="preserve"> ~15% net benefit at his 30% bracket, up to the $30,000 cap.</w:t>
      </w:r>
    </w:p>
    <w:p>
      <w:pPr>
        <w:numPr>
          <w:ilvl w:val="0"/>
          <w:numId w:val="1"/>
        </w:numPr>
        <w:spacing w:lineRule="auto"/>
      </w:pPr>
      <w:r>
        <w:rPr>
          <w:b/>
        </w:rPr>
        <w:t xml:space="preserve">Strategy 11 — Joanne's low-income incentives.</w:t>
      </w:r>
      <w:r>
        <w:rPr/>
        <w:t xml:space="preserve"> Spouse offset ($540), co-contribution ($500), LISTO ($500) — small but automatic where captured.</w:t>
      </w:r>
    </w:p>
    <w:p>
      <w:pPr>
        <w:numPr>
          <w:ilvl w:val="0"/>
          <w:numId w:val="1"/>
        </w:numPr>
        <w:spacing w:lineRule="auto"/>
      </w:pPr>
      <w:r>
        <w:rPr>
          <w:b/>
        </w:rPr>
        <w:t xml:space="preserve">Strategy 12 — Spouse contribution split &amp; balance equalisation.</w:t>
      </w:r>
      <w:r>
        <w:rPr/>
        <w:t xml:space="preserve"> Shift balance toward Joanne to use both TBCs and improve flexibility.</w:t>
      </w:r>
    </w:p>
    <w:p>
      <w:pPr>
        <w:numPr>
          <w:ilvl w:val="0"/>
          <w:numId w:val="1"/>
        </w:numPr>
        <w:spacing w:lineRule="auto"/>
      </w:pPr>
      <w:r>
        <w:rPr>
          <w:b/>
        </w:rPr>
        <w:t xml:space="preserve">Strategy 13 — Children (Luke &amp; Brittany).</w:t>
      </w:r>
      <w:r>
        <w:rPr/>
        <w:t xml:space="preserve"> Property assistance considerations and the 27–35 level-premium insurance window.</w:t>
      </w:r>
    </w:p>
    <w:p>
      <w:pPr>
        <w:numPr>
          <w:ilvl w:val="0"/>
          <w:numId w:val="1"/>
        </w:numPr>
        <w:spacing w:lineRule="auto"/>
      </w:pPr>
      <w:r>
        <w:rPr>
          <w:b/>
        </w:rPr>
        <w:t xml:space="preserve">Strategy 14 — Staged retirement cash-flow plan.</w:t>
      </w:r>
      <w:r>
        <w:rPr/>
        <w:t xml:space="preserve"> Phase 1 (Michael part-time) → Phase 2 (fully retired, downsized).</w:t>
      </w:r>
    </w:p>
    <w:p>
      <w:pPr>
        <w:numPr>
          <w:ilvl w:val="0"/>
          <w:numId w:val="1"/>
        </w:numPr>
        <w:spacing w:lineRule="auto"/>
      </w:pPr>
      <w:r>
        <w:rPr>
          <w:b/>
        </w:rPr>
        <w:t xml:space="preserve">Strategy 15 — Caution on 8–9% private lending.</w:t>
      </w:r>
      <w:r>
        <w:rPr/>
        <w:t xml:space="preserve"> Defer/decline as a core holding given stage of life and health.</w:t>
      </w:r>
    </w:p>
    <w:p>
      <w:pPr>
        <w:numPr>
          <w:ilvl w:val="0"/>
          <w:numId w:val="1"/>
        </w:numPr>
        <w:spacing w:lineRule="auto"/>
      </w:pPr>
      <w:r>
        <w:rPr>
          <w:b/>
        </w:rPr>
        <w:t xml:space="preserve">Strategy 16 — Verification / peer-review pass.</w:t>
      </w:r>
      <w:r>
        <w:rPr/>
        <w:t xml:space="preserve"> Cross-check material strategies with Cooper &amp; Lockhart (tax/SMSF) and Doug Patrick (estate) before any SOA.</w:t>
      </w:r>
    </w:p>
    <w:p>
      <w:pPr>
        <w:ind w:left="284"/>
        <w:jc w:val="both"/>
        <w:spacing w:lineRule="auto"/>
      </w:pPr>
      <w:r>
        <w:rPr>
          <w:b/>
        </w:rPr>
        <w:t xml:space="preserve">Key insight —</w:t>
      </w:r>
      <w:r>
        <w:rPr/>
        <w:t xml:space="preserve"> This household is </w:t>
      </w:r>
      <w:r>
        <w:rPr>
          <w:b/>
        </w:rPr>
        <w:t xml:space="preserve">asset-rich, debt-free, and over 65 with full super access</w:t>
      </w:r>
      <w:r>
        <w:rPr/>
        <w:t xml:space="preserve"> — a clean starting point. The plan is not about accumulation; it is about (a) </w:t>
      </w:r>
      <w:r>
        <w:rPr>
          <w:b/>
        </w:rPr>
        <w:t xml:space="preserve">locking down estate and incapacity documents immediately</w:t>
      </w:r>
      <w:r>
        <w:rPr/>
        <w:t xml:space="preserve"> given Michael's health, (b) </w:t>
      </w:r>
      <w:r>
        <w:rPr>
          <w:b/>
        </w:rPr>
        <w:t xml:space="preserve">flipping the SMSF into tax-free pension phase</w:t>
      </w:r>
      <w:r>
        <w:rPr/>
        <w:t xml:space="preserve">, and (c) </w:t>
      </w:r>
      <w:r>
        <w:rPr>
          <w:b/>
        </w:rPr>
        <w:t xml:space="preserve">using the home downsize + downsizer contributions</w:t>
      </w:r>
      <w:r>
        <w:rPr/>
        <w:t xml:space="preserve"> to comfortably fund the ~$75k income target while passing wealth to Luke and Brittany as tax-effectively as possible.</w:t>
      </w:r>
    </w:p>
    <w:p>
      <w:pPr>
        <w:pStyle w:val="Heading2"/>
        <w:spacing w:lineRule="auto"/>
      </w:pPr>
      <w:r>
        <w:rPr>
          <w:color w:val="4C9A2A"/>
          <w:rFonts w:ascii="Helvetica" w:hAnsi="Helvetica"/>
          <w:sz w:val="26"/>
        </w:rPr>
        <w:t xml:space="preserve">2. Household snapshot</w:t>
      </w:r>
    </w:p>
    <w:p>
      <w:pPr>
        <w:pStyle w:val="Heading3"/>
        <w:spacing w:lineRule="auto"/>
      </w:pPr>
      <w:r>
        <w:rPr>
          <w:color w:val="333333"/>
          <w:rFonts w:ascii="Helvetica" w:hAnsi="Helvetica"/>
          <w:sz w:val="21"/>
        </w:rPr>
        <w:t xml:space="preserve">Michael Williams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 (DOB 07/07/1958)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Occupation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Commissioning Engineer, AusNet Services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Employment basis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Reduced from full-time to </w:t>
            </w:r>
          </w:p>
          <w:p>
            <w:pPr>
              <w:spacing w:lineRule="auto"/>
            </w:pPr>
            <w:r>
              <w:rPr>
                <w:b/>
              </w:rPr>
              <w:t xml:space="preserve">3 days/week</w:t>
            </w:r>
          </w:p>
          <w:p>
            <w:pPr>
              <w:spacing w:lineRule="auto"/>
            </w:pPr>
            <w:r>
              <w:rPr/>
              <w:t xml:space="preserve"> after leukaemia diagnosis + ~6 months sick leave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Income (FY25 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Taxable </w:t>
            </w:r>
          </w:p>
          <w:p>
            <w:pPr>
              <w:spacing w:lineRule="auto"/>
            </w:pPr>
            <w:r>
              <w:rPr>
                <w:b/>
              </w:rPr>
              <w:t xml:space="preserve">$192,689</w:t>
            </w:r>
          </w:p>
          <w:p>
            <w:pPr>
              <w:spacing w:lineRule="auto"/>
            </w:pPr>
            <w:r>
              <w:rPr/>
              <w:t xml:space="preserve"> (gross salary/allowances $193,846; deductions $1,157)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Income (current)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$117,000 p.a.</w:t>
            </w:r>
          </w:p>
          <w:p>
            <w:pPr>
              <w:spacing w:lineRule="auto"/>
            </w:pPr>
            <w:r>
              <w:rPr/>
              <w:t xml:space="preserve"> ($4,500/fortnight) </w:t>
            </w:r>
          </w:p>
          <w:p>
            <w:pPr>
              <w:spacing w:lineRule="auto"/>
            </w:pPr>
            <w:r>
              <w:rPr>
                <w:b/>
              </w:rPr>
              <w:t xml:space="preserve">[TO CONFIRM]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FY25 marginal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bracket (45% + 2% Medicare); now ~30% + 2% on reduced income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Leukaemia — on a clinical trial reported as working well. </w:t>
            </w:r>
          </w:p>
          <w:p>
            <w:pPr>
              <w:spacing w:lineRule="auto"/>
            </w:pPr>
            <w:r>
              <w:rPr>
                <w:b/>
              </w:rPr>
              <w:t xml:space="preserve">[TO CONFIRM]</w:t>
            </w:r>
          </w:p>
          <w:p>
            <w:pPr>
              <w:spacing w:lineRule="auto"/>
            </w:pPr>
            <w:r>
              <w:rPr/>
              <w:t xml:space="preserve"> the surgery / "no surgery" discrepancy between the 12 Mar and 3 Mar emails and current prognosis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member balance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$576,703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Private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BUPA hospital cover (no Medicare Levy Surcharge — 365 days covered)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jemjwilliam@gmail.com</w:t>
              </w:r>
            </w:hyperlink>
          </w:p>
        </w:tc>
      </w:tr>
    </w:tbl>
    <w:p>
      <w:pPr>
        <w:spacing w:lineRule="auto"/>
      </w:pPr>
      <w:r>
        <w:rPr/>
      </w:r>
    </w:p>
    <w:p>
      <w:pPr>
        <w:pStyle w:val="Heading3"/>
        <w:spacing w:lineRule="auto"/>
      </w:pPr>
      <w:r>
        <w:rPr>
          <w:color w:val="333333"/>
          <w:rFonts w:ascii="Helvetica" w:hAnsi="Helvetica"/>
          <w:sz w:val="21"/>
        </w:rPr>
        <w:t xml:space="preserve">Joanne Williams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 (DOB 15/11/1960)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Occupation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Worker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$23,400–$25,000 p.a.</w:t>
            </w:r>
          </w:p>
          <w:p>
            <w:pPr>
              <w:spacing w:lineRule="auto"/>
            </w:pPr>
            <w:r>
              <w:rPr/>
              <w:t xml:space="preserve"> ($900/fortnight)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Marginal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bracket (effective rate lower after LITO)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member balance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$72,897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Low-income eligibility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Spouse contribution offset (claimed by Michael), government co-contribution, LISTO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joelizw@bigpond.com</w:t>
              </w:r>
            </w:hyperlink>
          </w:p>
        </w:tc>
      </w:tr>
    </w:tbl>
    <w:p>
      <w:pPr>
        <w:spacing w:lineRule="auto"/>
      </w:pPr>
      <w:r>
        <w:rPr/>
      </w:r>
    </w:p>
    <w:p>
      <w:pPr>
        <w:pStyle w:val="Heading3"/>
        <w:spacing w:lineRule="auto"/>
      </w:pPr>
      <w:r>
        <w:rPr>
          <w:color w:val="333333"/>
          <w:rFonts w:ascii="Helvetica" w:hAnsi="Helvetica"/>
          <w:sz w:val="21"/>
        </w:rPr>
        <w:t xml:space="preserve">Adult children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 (DOB 22/12/1993) — Elwood VIC; carries </w:t>
            </w:r>
          </w:p>
          <w:p>
            <w:pPr>
              <w:spacing w:lineRule="auto"/>
            </w:pPr>
            <w:r>
              <w:rPr>
                <w:b/>
              </w:rPr>
              <w:t xml:space="preserve">investment-property debt</w:t>
            </w:r>
          </w:p>
          <w:p>
            <w:pPr>
              <w:spacing w:lineRule="auto"/>
            </w:pPr>
            <w:r>
              <w:rPr/>
              <w:t xml:space="preserve">; currently overseas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Brittany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 (DOB 19/09/1996) — Carrum Downs VIC; moving into a new home July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w:t>
            </w:r>
          </w:p>
          <w:p>
            <w:pPr>
              <w:spacing w:lineRule="auto"/>
            </w:pPr>
            <w:r>
              <w:rPr>
                <w:b/>
              </w:rPr>
              <w:t xml:space="preserve">adult, non-dependants</w:t>
            </w:r>
          </w:p>
          <w:p>
            <w:pPr>
              <w:spacing w:lineRule="auto"/>
            </w:pPr>
            <w:r>
              <w:rPr/>
              <w:t xml:space="preserve"> for super death-benefit purposes</w:t>
            </w:r>
          </w:p>
        </w:tc>
      </w:tr>
    </w:tbl>
    <w:p>
      <w:pPr>
        <w:spacing w:lineRule="auto"/>
      </w:pPr>
      <w:r>
        <w:rPr/>
      </w:r>
    </w:p>
    <w:p>
      <w:pPr>
        <w:pStyle w:val="Heading3"/>
        <w:spacing w:lineRule="auto"/>
      </w:pPr>
      <w:r>
        <w:rPr>
          <w:color w:val="333333"/>
          <w:rFonts w:ascii="Helvetica" w:hAnsi="Helvetica"/>
          <w:sz w:val="21"/>
        </w:rPr>
        <w:t xml:space="preserve">Property, cash &amp; superannuation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 65 Magpie Road, Menzies Creek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 owned outright (joint), ~10-acre lot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Macquarie cash (joint)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 JEMJ Williams Super Fund (ABN 36 965 534 146)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assets </w:t>
            </w:r>
          </w:p>
          <w:p>
            <w:pPr>
              <w:spacing w:lineRule="auto"/>
            </w:pPr>
            <w:r>
              <w:rPr>
                <w:b/>
              </w:rPr>
              <w:t xml:space="preserve">$649,600</w:t>
            </w:r>
          </w:p>
          <w:p>
            <w:pPr>
              <w:spacing w:lineRule="auto"/>
            </w:pPr>
            <w:r>
              <w:rPr/>
              <w:t xml:space="preserve"> (Michael $576,703 / Joanne $72,897)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asset mix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shares $248,413 (CBA ~$90k overweight; AGL/ANZ/BHP + legacy) · Australian unit trust $10,071 · </w:t>
            </w:r>
          </w:p>
          <w:p>
            <w:pPr>
              <w:spacing w:lineRule="auto"/>
            </w:pPr>
            <w:r>
              <w:rPr>
                <w:b/>
              </w:rPr>
              <w:t xml:space="preserve">Cash $410,214</w:t>
            </w:r>
          </w:p>
          <w:p>
            <w:pPr>
              <w:spacing w:lineRule="auto"/>
            </w:pPr>
            <w:r>
              <w:rPr/>
              <w:t xml:space="preserve"> (ANZ TD &amp; savers)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FY25 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$70,940 (dividends $14,749; interest $9,423; distributions $431; net market movement $21,950; contributions $24,387)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SMSF historical 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 p.a. · current allocation ~</w:t>
            </w:r>
          </w:p>
          <w:p>
            <w:pPr>
              <w:spacing w:lineRule="auto"/>
            </w:pPr>
            <w:r>
              <w:rPr>
                <w:b/>
              </w:rPr>
              <w:t xml:space="preserve">60–65% cash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 / SMSF compiler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 Cooper, Cooper &amp; Lockhart Pty Ltd</w:t>
            </w:r>
          </w:p>
        </w:tc>
      </w:tr>
    </w:tbl>
    <w:p>
      <w:pPr>
        <w:spacing w:lineRule="auto"/>
      </w:pPr>
      <w:r>
        <w:rPr/>
      </w:r>
    </w:p>
    <w:p>
      <w:pPr>
        <w:pStyle w:val="Heading3"/>
        <w:spacing w:lineRule="auto"/>
      </w:pPr>
      <w:r>
        <w:rPr>
          <w:color w:val="333333"/>
          <w:rFonts w:ascii="Helvetica" w:hAnsi="Helvetica"/>
          <w:sz w:val="21"/>
        </w:rPr>
        <w:t xml:space="preserve">Cash flow (indicative, per Client Profile)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monthly expenditure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$4,550 (~$54,600 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monthly cash surplus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$6,216 </w:t>
            </w:r>
          </w:p>
          <w:p>
            <w:pPr>
              <w:spacing w:lineRule="auto"/>
            </w:pPr>
            <w:r>
              <w:rPr>
                <w:b/>
              </w:rPr>
              <w:t xml:space="preserve">[TO CONFIRM — appears high vs reduced income; likely pre-tax or includes super movements]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Stated retirement income 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~$75,000 p.a.</w:t>
            </w:r>
          </w:p>
          <w:p>
            <w:pPr>
              <w:spacing w:lineRule="auto"/>
            </w:pPr>
            <w:r>
              <w:rPr/>
              <w:t xml:space="preserve"> (Michael's email)</w:t>
            </w:r>
          </w:p>
        </w:tc>
      </w:tr>
    </w:tbl>
    <w:p>
      <w:pPr>
        <w:spacing w:lineRule="auto"/>
      </w:pPr>
      <w:r>
        <w:rPr/>
      </w:r>
    </w:p>
    <w:p>
      <w:pPr>
        <w:pStyle w:val="Heading2"/>
        <w:spacing w:lineRule="auto"/>
      </w:pPr>
      <w:r>
        <w:rPr>
          <w:color w:val="4C9A2A"/>
          <w:rFonts w:ascii="Helvetica" w:hAnsi="Helvetica"/>
          <w:sz w:val="26"/>
        </w:rPr>
        <w:t xml:space="preserve">3. Goals and scope of this paper</w:t>
      </w:r>
    </w:p>
    <w:p>
      <w:pPr>
        <w:pStyle w:val="Heading3"/>
        <w:spacing w:lineRule="auto"/>
      </w:pPr>
      <w:r>
        <w:rPr>
          <w:color w:val="333333"/>
          <w:rFonts w:ascii="Helvetica" w:hAnsi="Helvetica"/>
          <w:sz w:val="21"/>
        </w:rPr>
        <w:t xml:space="preserve">Stated goals (from the Client Profile and email chain)</w:t>
      </w:r>
    </w:p>
    <w:p>
      <w:pPr>
        <w:numPr>
          <w:ilvl w:val="0"/>
          <w:numId w:val="2"/>
        </w:numPr>
        <w:spacing w:lineRule="auto"/>
      </w:pPr>
      <w:r>
        <w:rPr/>
        <w:t xml:space="preserve">Achieve a sustainable retirement income of approximately </w:t>
      </w:r>
      <w:r>
        <w:rPr>
          <w:b/>
        </w:rPr>
        <w:t xml:space="preserve">$75,000 p.a.</w:t>
      </w:r>
    </w:p>
    <w:p>
      <w:pPr>
        <w:numPr>
          <w:ilvl w:val="0"/>
          <w:numId w:val="2"/>
        </w:numPr>
        <w:spacing w:lineRule="auto"/>
      </w:pPr>
      <w:r>
        <w:rPr>
          <w:b/>
        </w:rPr>
        <w:t xml:space="preserve">Downsize and sell</w:t>
      </w:r>
      <w:r>
        <w:rPr/>
        <w:t xml:space="preserve"> the Menzies Creek property within </w:t>
      </w:r>
      <w:r>
        <w:rPr>
          <w:b/>
        </w:rPr>
        <w:t xml:space="preserve">1–2 years</w:t>
      </w:r>
      <w:r>
        <w:rPr/>
        <w:t xml:space="preserve"> (the 10-acre property is "increasingly difficult to maintain").</w:t>
      </w:r>
    </w:p>
    <w:p>
      <w:pPr>
        <w:numPr>
          <w:ilvl w:val="0"/>
          <w:numId w:val="2"/>
        </w:numPr>
        <w:spacing w:lineRule="auto"/>
      </w:pPr>
      <w:r>
        <w:rPr/>
        <w:t xml:space="preserve">Continue to </w:t>
      </w:r>
      <w:r>
        <w:rPr>
          <w:b/>
        </w:rPr>
        <w:t xml:space="preserve">travel / take holidays</w:t>
      </w:r>
      <w:r>
        <w:rPr/>
        <w:t xml:space="preserve"> ("always").</w:t>
      </w:r>
    </w:p>
    <w:p>
      <w:pPr>
        <w:numPr>
          <w:ilvl w:val="0"/>
          <w:numId w:val="2"/>
        </w:numPr>
        <w:spacing w:lineRule="auto"/>
      </w:pPr>
      <w:r>
        <w:rPr>
          <w:b/>
        </w:rPr>
        <w:t xml:space="preserve">Simplify and de-risk</w:t>
      </w:r>
      <w:r>
        <w:rPr/>
        <w:t xml:space="preserve"> as Michael transitions out of full-time work.</w:t>
      </w:r>
    </w:p>
    <w:p>
      <w:pPr>
        <w:numPr>
          <w:ilvl w:val="0"/>
          <w:numId w:val="2"/>
        </w:numPr>
        <w:spacing w:lineRule="auto"/>
      </w:pPr>
      <w:r>
        <w:rPr/>
        <w:t xml:space="preserve">Implement </w:t>
      </w:r>
      <w:r>
        <w:rPr>
          <w:b/>
        </w:rPr>
        <w:t xml:space="preserve">Testamentary Trust Wills</w:t>
      </w:r>
      <w:r>
        <w:rPr/>
        <w:t xml:space="preserve"> (in progress) for asset protection and intergenerational tax efficiency.</w:t>
      </w:r>
    </w:p>
    <w:p>
      <w:pPr>
        <w:numPr>
          <w:ilvl w:val="0"/>
          <w:numId w:val="2"/>
        </w:numPr>
        <w:spacing w:lineRule="auto"/>
      </w:pPr>
      <w:r>
        <w:rPr/>
        <w:t xml:space="preserve">Ensure the family is </w:t>
      </w:r>
      <w:r>
        <w:rPr>
          <w:b/>
        </w:rPr>
        <w:t xml:space="preserve">looked after</w:t>
      </w:r>
      <w:r>
        <w:rPr/>
        <w:t xml:space="preserve"> in the event of Michael's death.</w:t>
      </w:r>
    </w:p>
    <w:p>
      <w:pPr>
        <w:numPr>
          <w:ilvl w:val="0"/>
          <w:numId w:val="2"/>
        </w:numPr>
        <w:spacing w:lineRule="auto"/>
      </w:pPr>
      <w:r>
        <w:rPr/>
        <w:t xml:space="preserve">Explore having Lakeside </w:t>
      </w:r>
      <w:r>
        <w:rPr>
          <w:b/>
        </w:rPr>
        <w:t xml:space="preserve">manage the investments</w:t>
      </w:r>
      <w:r>
        <w:rPr/>
        <w:t xml:space="preserve"> going forward.</w:t>
      </w:r>
    </w:p>
    <w:p>
      <w:pPr>
        <w:pStyle w:val="Heading3"/>
        <w:spacing w:lineRule="auto"/>
      </w:pPr>
      <w:r>
        <w:rPr>
          <w:color w:val="333333"/>
          <w:rFonts w:ascii="Helvetica" w:hAnsi="Helvetica"/>
          <w:sz w:val="21"/>
        </w:rPr>
        <w:t xml:space="preserve">In scope</w:t>
      </w:r>
    </w:p>
    <w:p>
      <w:pPr>
        <w:spacing w:lineRule="auto"/>
      </w:pPr>
      <w:r>
        <w:rPr/>
        <w:t xml:space="preserve">Retirement income &amp; cash-flow modelling; superannuation strategy (pension phase, contributions, downsizer, re-contribution, spouse strategies); the SMSF structure decision; property downsize strategy; investment de-risking; estate planning (testamentary trusts, POAs, binding nominations); in-scope insurance retention decisions; responses to the specific questions raised in the email chain.</w:t>
      </w:r>
    </w:p>
    <w:p>
      <w:pPr>
        <w:pStyle w:val="Heading3"/>
        <w:spacing w:lineRule="auto"/>
      </w:pPr>
      <w:r>
        <w:rPr>
          <w:color w:val="333333"/>
          <w:rFonts w:ascii="Helvetica" w:hAnsi="Helvetica"/>
          <w:sz w:val="21"/>
        </w:rPr>
        <w:t xml:space="preserve">Explicitly out of scope / referred</w:t>
      </w:r>
    </w:p>
    <w:p>
      <w:pPr>
        <w:numPr>
          <w:ilvl w:val="0"/>
          <w:numId w:val="3"/>
        </w:numPr>
        <w:spacing w:lineRule="auto"/>
      </w:pPr>
      <w:r>
        <w:rPr/>
        <w:t xml:space="preserve">Will drafting and POA preparation — </w:t>
      </w:r>
      <w:r>
        <w:rPr>
          <w:b/>
        </w:rPr>
        <w:t xml:space="preserve">referred to Doug Patrick, Lakeside Lawyers</w:t>
      </w:r>
      <w:r>
        <w:rPr/>
        <w:t xml:space="preserve">.</w:t>
      </w:r>
    </w:p>
    <w:p>
      <w:pPr>
        <w:numPr>
          <w:ilvl w:val="0"/>
          <w:numId w:val="3"/>
        </w:numPr>
        <w:spacing w:lineRule="auto"/>
      </w:pPr>
      <w:r>
        <w:rPr/>
        <w:t xml:space="preserve">Tax-return preparation and SMSF compliance — </w:t>
      </w:r>
      <w:r>
        <w:rPr>
          <w:b/>
        </w:rPr>
        <w:t xml:space="preserve">handled by Ben Cooper, Cooper &amp; Lockhart</w:t>
      </w:r>
      <w:r>
        <w:rPr/>
        <w:t xml:space="preserve">.</w:t>
      </w:r>
    </w:p>
    <w:p>
      <w:pPr>
        <w:numPr>
          <w:ilvl w:val="0"/>
          <w:numId w:val="3"/>
        </w:numPr>
        <w:spacing w:lineRule="auto"/>
      </w:pPr>
      <w:r>
        <w:rPr/>
        <w:t xml:space="preserve">Detailed insurance product analysis for the children — separate adviser conversation.</w:t>
      </w:r>
    </w:p>
    <w:p>
      <w:pPr>
        <w:numPr>
          <w:ilvl w:val="0"/>
          <w:numId w:val="3"/>
        </w:numPr>
        <w:spacing w:lineRule="auto"/>
      </w:pPr>
      <w:r>
        <w:rPr/>
        <w:t xml:space="preserve">The specific replacement-property purchase — indicative price points only.</w:t>
      </w:r>
    </w:p>
    <w:p>
      <w:pPr>
        <w:pStyle w:val="Heading3"/>
        <w:spacing w:lineRule="auto"/>
      </w:pPr>
      <w:r>
        <w:rPr>
          <w:color w:val="333333"/>
          <w:rFonts w:ascii="Helvetica" w:hAnsi="Helvetica"/>
          <w:sz w:val="21"/>
        </w:rPr>
        <w:t xml:space="preserve">Reliance on information provided</w:t>
      </w:r>
    </w:p>
    <w:p>
      <w:pPr>
        <w:spacing w:lineRule="auto"/>
      </w:pPr>
      <w:r>
        <w:rPr/>
        <w:t xml:space="preserve">Prepared by Tristan Biro (Lakeside Financial) based on: the Client Profile – Summary; JEMJ Williams Superannuation Fund 2025 financial statements (ABN 36 965 534 146); Michael's 2025 individual tax return (Cooper &amp; Lockhart); and the email chain dated 3 March – 13 May 2026. Several items are flagged </w:t>
      </w:r>
      <w:r>
        <w:rPr>
          <w:b/>
        </w:rPr>
        <w:t xml:space="preserve">[TO CONFIRM]</w:t>
      </w:r>
      <w:r>
        <w:rPr/>
        <w:t xml:space="preserve"> and must be verified before any formal advice document is issued.</w:t>
      </w:r>
    </w:p>
    <w:p>
      <w:pPr>
        <w:pStyle w:val="Heading2"/>
        <w:spacing w:lineRule="auto"/>
      </w:pPr>
      <w:r>
        <w:rPr>
          <w:color w:val="4C9A2A"/>
          <w:rFonts w:ascii="Helvetica" w:hAnsi="Helvetica"/>
          <w:sz w:val="26"/>
        </w:rPr>
        <w:t xml:space="preserve">4. Michael's current tax position</w:t>
      </w:r>
    </w:p>
    <w:p>
      <w:pPr>
        <w:pStyle w:val="Heading3"/>
        <w:spacing w:lineRule="auto"/>
      </w:pPr>
      <w:r>
        <w:rPr>
          <w:color w:val="333333"/>
          <w:rFonts w:ascii="Helvetica" w:hAnsi="Helvetica"/>
          <w:sz w:val="21"/>
        </w:rPr>
        <w:t xml:space="preserve">Income breakdown (FY25 actuals)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Gross salary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$187,780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AusNet Transmission Group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Allowances/commissions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$5,937</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Gross interest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Macquarie joint (50% share)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income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$193,846</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deductions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Clothing $150, work expenses $698, donations $100, tax affairs $209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Taxable income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$192,689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(45%) marginal bracket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on income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~$52,848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Cooper &amp; Lockhart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Medicare levy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~$3,854</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tax (approx)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~$56,900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PAYG credits ($56,251)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balance payable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estimate</w:t>
            </w:r>
          </w:p>
        </w:tc>
      </w:tr>
    </w:tbl>
    <w:p>
      <w:pPr>
        <w:spacing w:lineRule="auto"/>
      </w:pPr>
      <w:r>
        <w:rPr/>
      </w:r>
    </w:p>
    <w:p>
      <w:pPr>
        <w:pStyle w:val="Heading3"/>
        <w:spacing w:lineRule="auto"/>
      </w:pPr>
      <w:r>
        <w:rPr>
          <w:color w:val="333333"/>
          <w:rFonts w:ascii="Helvetica" w:hAnsi="Helvetica"/>
          <w:sz w:val="21"/>
        </w:rPr>
        <w:t xml:space="preserve">Observations</w:t>
      </w:r>
    </w:p>
    <w:p>
      <w:pPr>
        <w:numPr>
          <w:ilvl w:val="0"/>
          <w:numId w:val="4"/>
        </w:numPr>
        <w:spacing w:lineRule="auto"/>
      </w:pPr>
      <w:r>
        <w:rPr>
          <w:b/>
        </w:rPr>
        <w:t xml:space="preserve">The income has materially dropped.</w:t>
      </w:r>
      <w:r>
        <w:rPr/>
        <w:t xml:space="preserve"> Going from </w:t>
      </w:r>
      <w:r>
        <w:rPr/>
        <w:t xml:space="preserve">$193k (45% bracket) to ~$117k (30% bracket) changes the value of super contributions: a concessional contribution now saves ~30% income tax for 15% contributions tax = a **</w:t>
      </w:r>
      <w:r>
        <w:rPr/>
        <w:t xml:space="preserve">15% net benefit**, vs ~30% net when he was on the top rate. The high-marginal-rate window has largely closed.</w:t>
      </w:r>
    </w:p>
    <w:p>
      <w:pPr>
        <w:numPr>
          <w:ilvl w:val="0"/>
          <w:numId w:val="4"/>
        </w:numPr>
        <w:spacing w:lineRule="auto"/>
      </w:pPr>
      <w:r>
        <w:rPr>
          <w:b/>
        </w:rPr>
        <w:t xml:space="preserve">No Medicare Levy Surcharge</w:t>
      </w:r>
      <w:r>
        <w:rPr/>
        <w:t xml:space="preserve"> — BUPA hospital cover held all year.</w:t>
      </w:r>
    </w:p>
    <w:p>
      <w:pPr>
        <w:numPr>
          <w:ilvl w:val="0"/>
          <w:numId w:val="4"/>
        </w:numPr>
        <w:spacing w:lineRule="auto"/>
      </w:pPr>
      <w:r>
        <w:rPr>
          <w:b/>
        </w:rPr>
        <w:t xml:space="preserve">No reportable fringe benefits or RESC</w:t>
      </w:r>
      <w:r>
        <w:rPr/>
        <w:t xml:space="preserve"> on the FY25 return — keeps Joanne's spouse-offset and co-contribution income tests clean.</w:t>
      </w:r>
    </w:p>
    <w:p>
      <w:pPr>
        <w:numPr>
          <w:ilvl w:val="0"/>
          <w:numId w:val="4"/>
        </w:numPr>
        <w:spacing w:lineRule="auto"/>
      </w:pPr>
      <w:r>
        <w:rPr>
          <w:b/>
        </w:rPr>
        <w:t xml:space="preserve">Forward view:</w:t>
      </w:r>
      <w:r>
        <w:rPr/>
        <w:t xml:space="preserve"> once fully retired, Michael's taxable income falls toward nil and </w:t>
      </w:r>
      <w:r>
        <w:rPr>
          <w:b/>
        </w:rPr>
        <w:t xml:space="preserve">pension income is tax-free</w:t>
      </w:r>
      <w:r>
        <w:rPr/>
        <w:t xml:space="preserve"> (65+). The remaining work period (3 days/week) is the last window for deductible contributions.</w:t>
      </w:r>
    </w:p>
    <w:p>
      <w:pPr>
        <w:ind w:left="284"/>
        <w:jc w:val="both"/>
        <w:spacing w:lineRule="auto"/>
      </w:pPr>
      <w:r>
        <w:rPr>
          <w:b/>
        </w:rPr>
        <w:t xml:space="preserve">Action —</w:t>
      </w:r>
      <w:r>
        <w:rPr/>
        <w:t xml:space="preserve"> If any </w:t>
      </w:r>
      <w:r>
        <w:rPr>
          <w:b/>
        </w:rPr>
        <w:t xml:space="preserve">termination payment, unused annual leave or long-service-leave payout</w:t>
      </w:r>
      <w:r>
        <w:rPr/>
        <w:t xml:space="preserve"> is payable when Michael steps down, these attract specific tax treatment (ETP / unused-leave concessional rates) and should be modelled separately. Obtain leave balances from AusNet HR. </w:t>
      </w:r>
      <w:r>
        <w:rPr>
          <w:b/>
        </w:rPr>
        <w:t xml:space="preserve">[TO CONFIRM]</w:t>
      </w:r>
    </w:p>
    <w:p>
      <w:pPr>
        <w:pStyle w:val="Heading2"/>
        <w:spacing w:lineRule="auto"/>
      </w:pPr>
      <w:r>
        <w:rPr>
          <w:color w:val="4C9A2A"/>
          <w:rFonts w:ascii="Helvetica" w:hAnsi="Helvetica"/>
          <w:sz w:val="26"/>
        </w:rPr>
        <w:t xml:space="preserve">5. Joanne's current tax position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Approx taxable income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$23,400–$25,000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work ($900/fortnight); spouse income on Michael's return shown as $25,000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Marginal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$18,200 tax-free threshold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Reduced by the Low Income Tax Offset</w:t>
            </w:r>
          </w:p>
        </w:tc>
      </w:tr>
    </w:tbl>
    <w:p>
      <w:pPr>
        <w:spacing w:lineRule="auto"/>
      </w:pPr>
      <w:r>
        <w:rPr/>
      </w:r>
    </w:p>
    <w:p>
      <w:pPr>
        <w:pStyle w:val="Heading3"/>
        <w:spacing w:lineRule="auto"/>
      </w:pPr>
      <w:r>
        <w:rPr>
          <w:color w:val="333333"/>
          <w:rFonts w:ascii="Helvetica" w:hAnsi="Helvetica"/>
          <w:sz w:val="21"/>
        </w:rPr>
        <w:t xml:space="preserve">Observations</w:t>
      </w:r>
    </w:p>
    <w:p>
      <w:pPr>
        <w:numPr>
          <w:ilvl w:val="0"/>
          <w:numId w:val="5"/>
        </w:numPr>
        <w:spacing w:lineRule="auto"/>
      </w:pPr>
      <w:r>
        <w:rPr/>
        <w:t xml:space="preserve">Joanne's marginal rate is genuinely low — </w:t>
      </w:r>
      <w:r>
        <w:rPr>
          <w:b/>
        </w:rPr>
        <w:t xml:space="preserve">personal deductible super contributions save her almost nothing</w:t>
      </w:r>
      <w:r>
        <w:rPr/>
        <w:t xml:space="preserve"> (16% − 15% ≈ 1%). The carry-forward concessional strategy, which needs a high marginal rate to pay off, does </w:t>
      </w:r>
      <w:r>
        <w:rPr>
          <w:b/>
        </w:rPr>
        <w:t xml:space="preserve">not</w:t>
      </w:r>
      <w:r>
        <w:rPr/>
        <w:t xml:space="preserve"> suit her.</w:t>
      </w:r>
    </w:p>
    <w:p>
      <w:pPr>
        <w:numPr>
          <w:ilvl w:val="0"/>
          <w:numId w:val="5"/>
        </w:numPr>
        <w:spacing w:lineRule="auto"/>
      </w:pPr>
      <w:r>
        <w:rPr/>
        <w:t xml:space="preserve">The levers that </w:t>
      </w:r>
      <w:r>
        <w:rPr>
          <w:b/>
        </w:rPr>
        <w:t xml:space="preserve">do</w:t>
      </w:r>
      <w:r>
        <w:rPr/>
        <w:t xml:space="preserve"> work for Joanne are the </w:t>
      </w:r>
      <w:r>
        <w:rPr>
          <w:b/>
        </w:rPr>
        <w:t xml:space="preserve">low-income incentives</w:t>
      </w:r>
      <w:r>
        <w:rPr/>
        <w:t xml:space="preserve"> — spouse contribution offset, government co-contribution, LISTO (Section 11) — none of which need a high marginal rate.</w:t>
      </w:r>
    </w:p>
    <w:p>
      <w:pPr>
        <w:numPr>
          <w:ilvl w:val="0"/>
          <w:numId w:val="5"/>
        </w:numPr>
        <w:spacing w:lineRule="auto"/>
      </w:pPr>
      <w:r>
        <w:rPr/>
        <w:t xml:space="preserve">Joanne's TSB (~$73k) is </w:t>
      </w:r>
      <w:r>
        <w:rPr>
          <w:b/>
        </w:rPr>
        <w:t xml:space="preserve">under $500,000</w:t>
      </w:r>
      <w:r>
        <w:rPr/>
        <w:t xml:space="preserve">, so she is technically eligible for carry-forward concessional contributions and the full NCC bring-forward — flexibility is limited by income, not balance.</w:t>
      </w:r>
    </w:p>
    <w:p>
      <w:pPr>
        <w:pStyle w:val="Heading2"/>
        <w:spacing w:lineRule="auto"/>
      </w:pPr>
      <w:r>
        <w:rPr>
          <w:color w:val="4C9A2A"/>
          <w:rFonts w:ascii="Helvetica" w:hAnsi="Helvetica"/>
          <w:sz w:val="26"/>
        </w:rPr>
        <w:t xml:space="preserve">6. Combined superannuation position &amp; the Transfer Balance Cap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 status</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JEMJ Williams SMSF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$576,703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~60–65% cash / blue-chip equities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Employer SG continues while working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JEMJ Williams SMSF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$72,897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 above)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Combined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$649,600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3"/>
        <w:spacing w:lineRule="auto"/>
      </w:pPr>
      <w:r>
        <w:rPr>
          <w:color w:val="333333"/>
          <w:rFonts w:ascii="Helvetica" w:hAnsi="Helvetica"/>
          <w:sz w:val="21"/>
        </w:rPr>
        <w:t xml:space="preserve">Total Super Balance — gate to several strategies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Implication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Carry-forward concessional (TSB &lt; $500k)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eligible</w:t>
            </w:r>
          </w:p>
          <w:p>
            <w:pPr>
              <w:spacing w:lineRule="auto"/>
            </w:pPr>
            <w:r>
              <w:rPr/>
              <w:t xml:space="preserve"> ($576k)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Eligible</w:t>
            </w:r>
          </w:p>
          <w:p>
            <w:pPr>
              <w:spacing w:lineRule="auto"/>
            </w:pPr>
            <w:r>
              <w:rPr/>
              <w:t xml:space="preserve"> ($73k)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Joanne can carry forward — but low value at her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NCC bring-forward ($120k×3 = $360k; TSB &lt;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can use bring-forward (e.g. re-contribution)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Spouse contribution offset (recipient TSB &lt; $2.0M)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Recipient = 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 contributes to Joanne; claims $540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Transfer Balance Cap ($2.0M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~$1.42M headroom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~$1.93M headroom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Entire balances can move to pension phase, even after downsizer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Division 296 (TSB &gt; $3.0M)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Well below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Well below</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applicable</w:t>
            </w:r>
          </w:p>
          <w:p>
            <w:pPr>
              <w:spacing w:lineRule="auto"/>
            </w:pPr>
            <w:r>
              <w:rPr/>
              <w:t xml:space="preserve"> — even post-downsizer (~$1.25M combined)</w:t>
            </w:r>
          </w:p>
        </w:tc>
      </w:tr>
    </w:tbl>
    <w:p>
      <w:pPr>
        <w:spacing w:lineRule="auto"/>
      </w:pPr>
      <w:r>
        <w:rPr/>
      </w:r>
    </w:p>
    <w:p>
      <w:pPr>
        <w:spacing w:lineRule="auto"/>
      </w:pPr>
      <w:r>
        <w:rPr/>
        <w:t xml:space="preserve">Both members being </w:t>
      </w:r>
      <w:r>
        <w:rPr>
          <w:b/>
        </w:rPr>
        <w:t xml:space="preserve">65+</w:t>
      </w:r>
      <w:r>
        <w:rPr/>
        <w:t xml:space="preserve"> means they are already retired for super purposes; </w:t>
      </w:r>
      <w:r>
        <w:rPr>
          <w:b/>
        </w:rPr>
        <w:t xml:space="preserve">all withdrawals are tax-free</w:t>
      </w:r>
      <w:r>
        <w:rPr/>
        <w:t xml:space="preserve"> and </w:t>
      </w:r>
      <w:r>
        <w:rPr>
          <w:b/>
        </w:rPr>
        <w:t xml:space="preserve">account-based pensions can commence immediately</w:t>
      </w:r>
      <w:r>
        <w:rPr/>
        <w:t xml:space="preserve">.</w:t>
      </w:r>
    </w:p>
    <w:p>
      <w:pPr>
        <w:pStyle w:val="Heading2"/>
        <w:spacing w:lineRule="auto"/>
      </w:pPr>
      <w:r>
        <w:rPr>
          <w:color w:val="4C9A2A"/>
          <w:rFonts w:ascii="Helvetica" w:hAnsi="Helvetica"/>
          <w:sz w:val="26"/>
        </w:rPr>
        <w:t xml:space="preserve">7. Strategy 1 — Enduring Powers of Attorney &amp; incapacity planning [URGENT]</w:t>
      </w:r>
    </w:p>
    <w:p>
      <w:pPr>
        <w:spacing w:lineRule="auto"/>
      </w:pPr>
      <w:r>
        <w:rPr>
          <w:b/>
        </w:rPr>
        <w:t xml:space="preserve">Why this is the #1 action.</w:t>
      </w:r>
      <w:r>
        <w:rPr/>
        <w:t xml:space="preserve"> The Client Profile records </w:t>
      </w:r>
      <w:r>
        <w:rPr>
          <w:b/>
        </w:rPr>
        <w:t xml:space="preserve">no Powers of Attorney</w:t>
      </w:r>
      <w:r>
        <w:rPr/>
        <w:t xml:space="preserve">. Given Michael's health, this is the most urgent item in the plan:</w:t>
      </w:r>
    </w:p>
    <w:p>
      <w:pPr>
        <w:numPr>
          <w:ilvl w:val="0"/>
          <w:numId w:val="6"/>
        </w:numPr>
        <w:spacing w:lineRule="auto"/>
      </w:pPr>
      <w:r>
        <w:rPr/>
        <w:t xml:space="preserve">If Michael lost capacity without an </w:t>
      </w:r>
      <w:r>
        <w:rPr>
          <w:b/>
        </w:rPr>
        <w:t xml:space="preserve">enduring power of attorney (financial)</w:t>
      </w:r>
      <w:r>
        <w:rPr/>
        <w:t xml:space="preserve">, Joanne could not simply step in — she would face a </w:t>
      </w:r>
      <w:r>
        <w:rPr>
          <w:b/>
        </w:rPr>
        <w:t xml:space="preserve">VCAT administration application</w:t>
      </w:r>
      <w:r>
        <w:rPr/>
        <w:t xml:space="preserve">, with delay and cost at the worst possible time.</w:t>
      </w:r>
    </w:p>
    <w:p>
      <w:pPr>
        <w:numPr>
          <w:ilvl w:val="0"/>
          <w:numId w:val="6"/>
        </w:numPr>
        <w:spacing w:lineRule="auto"/>
      </w:pPr>
      <w:r>
        <w:rPr/>
        <w:t xml:space="preserve">An SMSF member who loses capacity must generally have their </w:t>
      </w:r>
      <w:r>
        <w:rPr>
          <w:b/>
        </w:rPr>
        <w:t xml:space="preserve">legal personal representative (attorney) appointed as trustee/director</w:t>
      </w:r>
      <w:r>
        <w:rPr/>
        <w:t xml:space="preserve"> to keep the fund compliant. Without an EPOA, the </w:t>
      </w:r>
      <w:r>
        <w:rPr>
          <w:b/>
        </w:rPr>
        <w:t xml:space="preserve">SMSF's compliance is at risk</w:t>
      </w:r>
      <w:r>
        <w:rPr/>
        <w:t xml:space="preserve">.</w:t>
      </w:r>
    </w:p>
    <w:p>
      <w:pPr>
        <w:numPr>
          <w:ilvl w:val="0"/>
          <w:numId w:val="6"/>
        </w:numPr>
        <w:spacing w:lineRule="auto"/>
      </w:pPr>
      <w:r>
        <w:rPr/>
        <w:t xml:space="preserve">A </w:t>
      </w:r>
      <w:r>
        <w:rPr>
          <w:b/>
        </w:rPr>
        <w:t xml:space="preserve">medical treatment decision-maker / advance care directive</w:t>
      </w:r>
      <w:r>
        <w:rPr/>
        <w:t xml:space="preserve"> ensures Joanne (or a nominated person) can make health decisions.</w:t>
      </w:r>
    </w:p>
    <w:p>
      <w:pPr>
        <w:spacing w:lineRule="auto"/>
      </w:pPr>
      <w:r>
        <w:rPr>
          <w:b/>
        </w:rPr>
        <w:t xml:space="preserve">Execution.</w:t>
      </w:r>
      <w:r>
        <w:rPr/>
        <w:t xml:space="preserve"> Doug Patrick (already engaged for the Wills) should prepare </w:t>
      </w:r>
      <w:r>
        <w:rPr>
          <w:b/>
        </w:rPr>
        <w:t xml:space="preserve">enduring financial POAs and medical decision-maker appointments for both Michael and Joanne</w:t>
      </w:r>
      <w:r>
        <w:rPr/>
        <w:t xml:space="preserve"> — these are typically bundled with the Wills at modest additional cost and </w:t>
      </w:r>
      <w:r>
        <w:rPr>
          <w:b/>
        </w:rPr>
        <w:t xml:space="preserve">should not wait</w:t>
      </w:r>
      <w:r>
        <w:rPr/>
        <w:t xml:space="preserve"> for the Wills to be finalised.</w:t>
      </w:r>
    </w:p>
    <w:p>
      <w:pPr>
        <w:pStyle w:val="Heading2"/>
        <w:spacing w:lineRule="auto"/>
      </w:pPr>
      <w:r>
        <w:rPr>
          <w:color w:val="4C9A2A"/>
          <w:rFonts w:ascii="Helvetica" w:hAnsi="Helvetica"/>
          <w:sz w:val="26"/>
        </w:rPr>
        <w:t xml:space="preserve">8. Strategy 2 — Binding death benefit nominations on the SMSF [URGENT]</w:t>
      </w:r>
    </w:p>
    <w:p>
      <w:pPr>
        <w:spacing w:lineRule="auto"/>
      </w:pPr>
      <w:r>
        <w:rPr>
          <w:b/>
        </w:rPr>
        <w:t xml:space="preserve">Mechanics.</w:t>
      </w:r>
      <w:r>
        <w:rPr/>
        <w:t xml:space="preserve"> Superannuation does </w:t>
      </w:r>
      <w:r>
        <w:rPr>
          <w:b/>
        </w:rPr>
        <w:t xml:space="preserve">not</w:t>
      </w:r>
      <w:r>
        <w:rPr/>
        <w:t xml:space="preserve"> pass under a Will. On a member's death the SMSF trustee decides who receives the benefit — </w:t>
      </w:r>
      <w:r>
        <w:rPr>
          <w:b/>
        </w:rPr>
        <w:t xml:space="preserve">unless</w:t>
      </w:r>
      <w:r>
        <w:rPr/>
        <w:t xml:space="preserve"> a valid </w:t>
      </w:r>
      <w:r>
        <w:rPr>
          <w:b/>
        </w:rPr>
        <w:t xml:space="preserve">binding death benefit nomination (BDBN)</w:t>
      </w:r>
      <w:r>
        <w:rPr/>
        <w:t xml:space="preserve"> directs it. For this household, the recommended pattern is:</w:t>
      </w:r>
    </w:p>
    <w:p>
      <w:pPr>
        <w:numPr>
          <w:ilvl w:val="0"/>
          <w:numId w:val="7"/>
        </w:numPr>
        <w:spacing w:lineRule="auto"/>
      </w:pPr>
      <w:r>
        <w:rPr>
          <w:b/>
        </w:rPr>
        <w:t xml:space="preserve">First death:</w:t>
      </w:r>
      <w:r>
        <w:rPr/>
        <w:t xml:space="preserve"> benefit to the </w:t>
      </w:r>
      <w:r>
        <w:rPr>
          <w:b/>
        </w:rPr>
        <w:t xml:space="preserve">surviving spouse</w:t>
      </w:r>
      <w:r>
        <w:rPr/>
        <w:t xml:space="preserve"> — paid </w:t>
      </w:r>
      <w:r>
        <w:rPr>
          <w:b/>
        </w:rPr>
        <w:t xml:space="preserve">tax-free</w:t>
      </w:r>
      <w:r>
        <w:rPr/>
        <w:t xml:space="preserve"> as a tax dependant, and keeps capital in the survivor's pension.</w:t>
      </w:r>
    </w:p>
    <w:p>
      <w:pPr>
        <w:numPr>
          <w:ilvl w:val="0"/>
          <w:numId w:val="7"/>
        </w:numPr>
        <w:spacing w:lineRule="auto"/>
      </w:pPr>
      <w:r>
        <w:rPr>
          <w:b/>
        </w:rPr>
        <w:t xml:space="preserve">On the second death (or where appropriate):</w:t>
      </w:r>
      <w:r>
        <w:rPr/>
        <w:t xml:space="preserve"> benefit to the </w:t>
      </w:r>
      <w:r>
        <w:rPr>
          <w:b/>
        </w:rPr>
        <w:t xml:space="preserve">legal personal representative (the estate)</w:t>
      </w:r>
      <w:r>
        <w:rPr/>
        <w:t xml:space="preserve">, so it flows into the </w:t>
      </w:r>
      <w:r>
        <w:rPr>
          <w:b/>
        </w:rPr>
        <w:t xml:space="preserve">testamentary trust</w:t>
      </w:r>
      <w:r>
        <w:rPr/>
        <w:t xml:space="preserve"> for Luke and Brittany — rather than being paid </w:t>
      </w:r>
      <w:r>
        <w:rPr>
          <w:b/>
        </w:rPr>
        <w:t xml:space="preserve">directly</w:t>
      </w:r>
      <w:r>
        <w:rPr/>
        <w:t xml:space="preserve"> to them (which would be taxed at up to </w:t>
      </w:r>
      <w:r>
        <w:rPr>
          <w:b/>
        </w:rPr>
        <w:t xml:space="preserve">17%</w:t>
      </w:r>
      <w:r>
        <w:rPr/>
        <w:t xml:space="preserve"> on the taxable component </w:t>
      </w:r>
      <w:r>
        <w:rPr>
          <w:b/>
        </w:rPr>
        <w:t xml:space="preserve">and</w:t>
      </w:r>
      <w:r>
        <w:rPr/>
        <w:t xml:space="preserve"> bypass the trust's asset protection).</w:t>
      </w:r>
    </w:p>
    <w:p>
      <w:pPr>
        <w:spacing w:lineRule="auto"/>
      </w:pPr>
      <w:r>
        <w:rPr>
          <w:b/>
        </w:rPr>
        <w:t xml:space="preserve">Eligibility / execution checklist.</w:t>
      </w:r>
    </w:p>
    <w:p>
      <w:pPr>
        <w:numPr>
          <w:ilvl w:val="0"/>
          <w:numId w:val="8"/>
        </w:numPr>
        <w:spacing w:lineRule="auto"/>
      </w:pPr>
      <w:r>
        <w:rPr/>
        <w:t xml:space="preserve">Confirm the </w:t>
      </w:r>
      <w:r>
        <w:rPr>
          <w:b/>
        </w:rPr>
        <w:t xml:space="preserve">SMSF trust deed</w:t>
      </w:r>
      <w:r>
        <w:rPr/>
        <w:t xml:space="preserve"> permits binding nominations (and whether lapsing or non-lapsing). </w:t>
      </w:r>
      <w:r>
        <w:rPr>
          <w:b/>
        </w:rPr>
        <w:t xml:space="preserve">[TO CONFIRM]</w:t>
      </w:r>
    </w:p>
    <w:p>
      <w:pPr>
        <w:numPr>
          <w:ilvl w:val="0"/>
          <w:numId w:val="8"/>
        </w:numPr>
        <w:spacing w:lineRule="auto"/>
      </w:pPr>
      <w:r>
        <w:rPr/>
        <w:t xml:space="preserve">Prepare BDBNs for </w:t>
      </w:r>
      <w:r>
        <w:rPr>
          <w:b/>
        </w:rPr>
        <w:t xml:space="preserve">both members</w:t>
      </w:r>
      <w:r>
        <w:rPr/>
        <w:t xml:space="preserve">, witnessed correctly.</w:t>
      </w:r>
    </w:p>
    <w:p>
      <w:pPr>
        <w:numPr>
          <w:ilvl w:val="0"/>
          <w:numId w:val="8"/>
        </w:numPr>
        <w:spacing w:lineRule="auto"/>
      </w:pPr>
      <w:r>
        <w:rPr/>
        <w:t xml:space="preserve">Coordinate the nominations with the </w:t>
      </w:r>
      <w:r>
        <w:rPr>
          <w:b/>
        </w:rPr>
        <w:t xml:space="preserve">testamentary trust Wills</w:t>
      </w:r>
      <w:r>
        <w:rPr/>
        <w:t xml:space="preserve"> so the routing is consistent.</w:t>
      </w:r>
    </w:p>
    <w:p>
      <w:pPr>
        <w:numPr>
          <w:ilvl w:val="0"/>
          <w:numId w:val="8"/>
        </w:numPr>
        <w:spacing w:lineRule="auto"/>
      </w:pPr>
      <w:r>
        <w:rPr/>
        <w:t xml:space="preserve">Pair with the </w:t>
      </w:r>
      <w:r>
        <w:rPr>
          <w:b/>
        </w:rPr>
        <w:t xml:space="preserve">re-contribution strategy</w:t>
      </w:r>
      <w:r>
        <w:rPr/>
        <w:t xml:space="preserve"> (Section 10) to shrink the taxable component before benefits ever reach the children.</w:t>
      </w:r>
    </w:p>
    <w:p>
      <w:pPr>
        <w:spacing w:lineRule="auto"/>
      </w:pPr>
      <w:r>
        <w:rPr>
          <w:b/>
        </w:rPr>
        <w:t xml:space="preserve">Legislative basis.</w:t>
      </w:r>
      <w:r>
        <w:rPr/>
        <w:t xml:space="preserve"> SIS Act 1993 / SIS Regs (death benefit payment rules); ITAA 1997 s302-145 (death benefits to non-dependants — taxable component taxed at 15% + Medicare).</w:t>
      </w:r>
    </w:p>
    <w:p>
      <w:pPr>
        <w:pStyle w:val="Heading2"/>
        <w:spacing w:lineRule="auto"/>
      </w:pPr>
      <w:r>
        <w:rPr>
          <w:color w:val="4C9A2A"/>
          <w:rFonts w:ascii="Helvetica" w:hAnsi="Helvetica"/>
          <w:sz w:val="26"/>
        </w:rPr>
        <w:t xml:space="preserve">9. Strategy 3 — Testamentary Trust Wills [URGENT — in progress]</w:t>
      </w:r>
    </w:p>
    <w:p>
      <w:pPr>
        <w:spacing w:lineRule="auto"/>
      </w:pPr>
      <w:r>
        <w:rPr>
          <w:b/>
        </w:rPr>
        <w:t xml:space="preserve">Current state.</w:t>
      </w:r>
      <w:r>
        <w:rPr/>
        <w:t xml:space="preserve"> Wills last reviewed </w:t>
      </w:r>
      <w:r>
        <w:rPr>
          <w:b/>
        </w:rPr>
        <w:t xml:space="preserve">2005</w:t>
      </w:r>
      <w:r>
        <w:rPr/>
        <w:t xml:space="preserve">, </w:t>
      </w:r>
      <w:r>
        <w:rPr>
          <w:b/>
        </w:rPr>
        <w:t xml:space="preserve">non-testamentary</w:t>
      </w:r>
      <w:r>
        <w:rPr/>
        <w:t xml:space="preserve">, no testamentary trust. Upgrade already underway with Doug Patrick.</w:t>
      </w:r>
    </w:p>
    <w:p>
      <w:pPr>
        <w:spacing w:lineRule="auto"/>
      </w:pPr>
      <w:r>
        <w:rPr>
          <w:b/>
        </w:rPr>
        <w:t xml:space="preserve">Why testamentary trusts suit this household.</w:t>
      </w:r>
    </w:p>
    <w:p>
      <w:pPr>
        <w:numPr>
          <w:ilvl w:val="0"/>
          <w:numId w:val="9"/>
        </w:numPr>
        <w:spacing w:lineRule="auto"/>
      </w:pPr>
      <w:r>
        <w:rPr>
          <w:b/>
        </w:rPr>
        <w:t xml:space="preserve">Asset protection</w:t>
      </w:r>
      <w:r>
        <w:rPr/>
        <w:t xml:space="preserve"> for Luke and Brittany — especially relevant given </w:t>
      </w:r>
      <w:r>
        <w:rPr>
          <w:b/>
        </w:rPr>
        <w:t xml:space="preserve">Luke's investment-property debt</w:t>
      </w:r>
      <w:r>
        <w:rPr/>
        <w:t xml:space="preserve"> and the general risk of relationship breakdown or business exposure.</w:t>
      </w:r>
    </w:p>
    <w:p>
      <w:pPr>
        <w:numPr>
          <w:ilvl w:val="0"/>
          <w:numId w:val="9"/>
        </w:numPr>
        <w:spacing w:lineRule="auto"/>
      </w:pPr>
      <w:r>
        <w:rPr>
          <w:b/>
        </w:rPr>
        <w:t xml:space="preserve">Income streaming to future grandchildren at adult marginal rates</w:t>
      </w:r>
      <w:r>
        <w:rPr/>
        <w:t xml:space="preserve"> (excepted trust income), rather than punitive minor-trust (Division 6AA) rates.</w:t>
      </w:r>
    </w:p>
    <w:p>
      <w:pPr>
        <w:numPr>
          <w:ilvl w:val="0"/>
          <w:numId w:val="9"/>
        </w:numPr>
        <w:spacing w:lineRule="auto"/>
      </w:pPr>
      <w:r>
        <w:rPr>
          <w:b/>
        </w:rPr>
        <w:t xml:space="preserve">Flexibility for up to 80 years.</w:t>
      </w:r>
    </w:p>
    <w:p>
      <w:pPr>
        <w:numPr>
          <w:ilvl w:val="0"/>
          <w:numId w:val="9"/>
        </w:numPr>
        <w:spacing w:lineRule="auto"/>
      </w:pPr>
      <w:r>
        <w:rPr/>
        <w:t xml:space="preserve">Cost: </w:t>
      </w:r>
      <w:r>
        <w:rPr>
          <w:b/>
        </w:rPr>
        <w:t xml:space="preserve">$4,000+GST</w:t>
      </w:r>
      <w:r>
        <w:rPr/>
        <w:t xml:space="preserve"> for the comprehensive (testamentary) pair vs $1,500+GST for basic Wills — appropriate at this wealth level.</w:t>
      </w:r>
    </w:p>
    <w:p>
      <w:pPr>
        <w:spacing w:lineRule="auto"/>
      </w:pPr>
      <w:r>
        <w:rPr>
          <w:b/>
        </w:rPr>
        <w:t xml:space="preserve">On Michael's "federal budget / trusts will be taxed" concern (from the email).</w:t>
      </w:r>
      <w:r>
        <w:rPr/>
        <w:t xml:space="preserve"> The recent commentary about trusts being taxed is generally directed at </w:t>
      </w:r>
      <w:r>
        <w:rPr>
          <w:b/>
        </w:rPr>
        <w:t xml:space="preserve">inter-vivos discretionary trusts</w:t>
      </w:r>
      <w:r>
        <w:rPr/>
        <w:t xml:space="preserve">, not the </w:t>
      </w:r>
      <w:r>
        <w:rPr>
          <w:b/>
        </w:rPr>
        <w:t xml:space="preserve">excepted trust income</w:t>
      </w:r>
      <w:r>
        <w:rPr/>
        <w:t xml:space="preserve"> treatment that lets a </w:t>
      </w:r>
      <w:r>
        <w:rPr/>
        <w:t xml:space="preserve">testamentary</w:t>
      </w:r>
      <w:r>
        <w:rPr/>
        <w:t xml:space="preserve"> trust distribute to minor grandchildren at adult rates. As at current law the core intergenerational benefit </w:t>
      </w:r>
      <w:r>
        <w:rPr>
          <w:b/>
        </w:rPr>
        <w:t xml:space="preserve">remains intact</w:t>
      </w:r>
      <w:r>
        <w:rPr/>
        <w:t xml:space="preserve">. This should be </w:t>
      </w:r>
      <w:r>
        <w:rPr>
          <w:b/>
        </w:rPr>
        <w:t xml:space="preserve">confirmed in writing by Doug Patrick</w:t>
      </w:r>
      <w:r>
        <w:rPr/>
        <w:t xml:space="preserve"> as the drafting solicitor, but the strategy is </w:t>
      </w:r>
      <w:r>
        <w:rPr>
          <w:b/>
        </w:rPr>
        <w:t xml:space="preserve">not</w:t>
      </w:r>
      <w:r>
        <w:rPr/>
        <w:t xml:space="preserve"> undermined by the budget commentary. </w:t>
      </w:r>
      <w:r>
        <w:rPr>
          <w:b/>
        </w:rPr>
        <w:t xml:space="preserve">[TO CONFIRM current legislation at drafting.]</w:t>
      </w:r>
    </w:p>
    <w:p>
      <w:pPr>
        <w:pStyle w:val="Heading2"/>
        <w:spacing w:lineRule="auto"/>
      </w:pPr>
      <w:r>
        <w:rPr>
          <w:color w:val="4C9A2A"/>
          <w:rFonts w:ascii="Helvetica" w:hAnsi="Helvetica"/>
          <w:sz w:val="26"/>
        </w:rPr>
        <w:t xml:space="preserve">10. Strategy 4 — Commence account-based pensions (the central engine)</w:t>
      </w:r>
    </w:p>
    <w:p>
      <w:pPr>
        <w:spacing w:lineRule="auto"/>
      </w:pPr>
      <w:r>
        <w:rPr>
          <w:b/>
        </w:rPr>
        <w:t xml:space="preserve">Mechanics.</w:t>
      </w:r>
      <w:r>
        <w:rPr/>
        <w:t xml:space="preserve"> Accumulation-phase SMSF earnings are taxed at 15% (10% on discounted capital gains). Once a member commences an </w:t>
      </w:r>
      <w:r>
        <w:rPr>
          <w:b/>
        </w:rPr>
        <w:t xml:space="preserve">account-based pension (ABP)</w:t>
      </w:r>
      <w:r>
        <w:rPr/>
        <w:t xml:space="preserve"> within their $2.0M Transfer Balance Cap, earnings on those assets become </w:t>
      </w:r>
      <w:r>
        <w:rPr>
          <w:b/>
        </w:rPr>
        <w:t xml:space="preserve">tax-free (0%)</w:t>
      </w:r>
      <w:r>
        <w:rPr/>
        <w:t xml:space="preserve">, and pension payments to a 65+ member are tax-free in their hands.</w:t>
      </w:r>
    </w:p>
    <w:p>
      <w:pPr>
        <w:spacing w:lineRule="auto"/>
      </w:pPr>
      <w:r>
        <w:rPr>
          <w:b/>
        </w:rPr>
        <w:t xml:space="preserve">Indicative benefit.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tax on ~$47,000 of fund earnings (7.2% on $649,600)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accumulation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pension phase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~$7,000 p.a.</w:t>
            </w:r>
          </w:p>
        </w:tc>
      </w:tr>
    </w:tbl>
    <w:p>
      <w:pPr>
        <w:spacing w:lineRule="auto"/>
      </w:pPr>
      <w:r>
        <w:rPr/>
      </w:r>
    </w:p>
    <w:p>
      <w:pPr>
        <w:spacing w:lineRule="auto"/>
      </w:pPr>
      <w:r>
        <w:rPr>
          <w:b/>
        </w:rPr>
        <w:t xml:space="preserve">Minimum drawdown (ages 65–74 = 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Pension 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 annual drawdown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$576,703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~$28,800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$72,897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$649,600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~$32,500</w:t>
            </w:r>
          </w:p>
        </w:tc>
      </w:tr>
    </w:tbl>
    <w:p>
      <w:pPr>
        <w:spacing w:lineRule="auto"/>
      </w:pPr>
      <w:r>
        <w:rPr/>
      </w:r>
    </w:p>
    <w:p>
      <w:pPr>
        <w:spacing w:lineRule="auto"/>
      </w:pPr>
      <w:r>
        <w:rPr>
          <w:b/>
        </w:rPr>
        <w:t xml:space="preserve">Recommended sequencing.</w:t>
      </w:r>
      <w:r>
        <w:rPr/>
        <w:t xml:space="preserve"> Commence ABPs for </w:t>
      </w:r>
      <w:r>
        <w:rPr>
          <w:b/>
        </w:rPr>
        <w:t xml:space="preserve">both</w:t>
      </w:r>
      <w:r>
        <w:rPr/>
        <w:t xml:space="preserve"> members now (Joanne included — the ~$3,600 minimum is trivial). After the home sale, make the </w:t>
      </w:r>
      <w:r>
        <w:rPr>
          <w:b/>
        </w:rPr>
        <w:t xml:space="preserve">downsizer into accumulation</w:t>
      </w:r>
      <w:r>
        <w:rPr/>
        <w:t xml:space="preserve"> and commence a </w:t>
      </w:r>
      <w:r>
        <w:rPr>
          <w:b/>
        </w:rPr>
        <w:t xml:space="preserve">second pension</w:t>
      </w:r>
      <w:r>
        <w:rPr/>
        <w:t xml:space="preserve"> with that capital — this lets the lump-sum inflows land first, then convert cleanly to pension phase.</w:t>
      </w:r>
    </w:p>
    <w:p>
      <w:pPr>
        <w:spacing w:lineRule="auto"/>
      </w:pPr>
      <w:r>
        <w:rPr>
          <w:b/>
        </w:rPr>
        <w:t xml:space="preserve">Legislative basis.</w:t>
      </w:r>
      <w:r>
        <w:rPr/>
        <w:t xml:space="preserve"> ITAA 1997 s295-385 (exempt current pension income); ITAA 1997 Subdiv 294-B (Transfer Balance Cap); SIS Regs (minimum drawdown percentages).</w:t>
      </w:r>
    </w:p>
    <w:p>
      <w:pPr>
        <w:pStyle w:val="Heading2"/>
        <w:spacing w:lineRule="auto"/>
      </w:pPr>
      <w:r>
        <w:rPr>
          <w:color w:val="4C9A2A"/>
          <w:rFonts w:ascii="Helvetica" w:hAnsi="Helvetica"/>
          <w:sz w:val="26"/>
        </w:rPr>
        <w:t xml:space="preserve">11. Strategy 5 — Downsizer contributions (the load-bearing decision)</w:t>
      </w:r>
    </w:p>
    <w:p>
      <w:pPr>
        <w:pStyle w:val="Heading3"/>
        <w:spacing w:lineRule="auto"/>
      </w:pPr>
      <w:r>
        <w:rPr>
          <w:color w:val="333333"/>
          <w:rFonts w:ascii="Helvetica" w:hAnsi="Helvetica"/>
          <w:sz w:val="21"/>
        </w:rPr>
        <w:t xml:space="preserve">Eligibility checklist — both members qualify</w:t>
      </w:r>
    </w:p>
    <w:p>
      <w:pPr>
        <w:numPr>
          <w:ilvl w:val="0"/>
          <w:numId w:val="10"/>
        </w:numPr>
        <w:spacing w:lineRule="auto"/>
      </w:pPr>
      <w:r>
        <w:rPr/>
        <w:t xml:space="preserve">Age </w:t>
      </w:r>
      <w:r>
        <w:rPr>
          <w:b/>
        </w:rPr>
        <w:t xml:space="preserve">55+</w:t>
      </w:r>
      <w:r>
        <w:rPr/>
        <w:t xml:space="preserve"> at contribution: </w:t>
      </w:r>
      <w:r>
        <w:rPr>
          <w:b/>
        </w:rPr>
        <w:t xml:space="preserve">Yes</w:t>
      </w:r>
      <w:r>
        <w:rPr/>
        <w:t xml:space="preserve"> (Michael 67 / Joanne 65). ✔</w:t>
      </w:r>
    </w:p>
    <w:p>
      <w:pPr>
        <w:numPr>
          <w:ilvl w:val="0"/>
          <w:numId w:val="10"/>
        </w:numPr>
        <w:spacing w:lineRule="auto"/>
      </w:pPr>
      <w:r>
        <w:rPr/>
        <w:t xml:space="preserve">Dwelling owned </w:t>
      </w:r>
      <w:r>
        <w:rPr>
          <w:b/>
        </w:rPr>
        <w:t xml:space="preserve">10+ years</w:t>
      </w:r>
      <w:r>
        <w:rPr/>
        <w:t xml:space="preserve"> by one or both spouses: near-certain given long tenure. </w:t>
      </w:r>
      <w:r>
        <w:rPr>
          <w:b/>
        </w:rPr>
        <w:t xml:space="preserve">[TO CONFIRM purchase date]</w:t>
      </w:r>
      <w:r>
        <w:rPr/>
        <w:t xml:space="preserve"> ✔</w:t>
      </w:r>
    </w:p>
    <w:p>
      <w:pPr>
        <w:numPr>
          <w:ilvl w:val="0"/>
          <w:numId w:val="10"/>
        </w:numPr>
        <w:spacing w:lineRule="auto"/>
      </w:pPr>
      <w:r>
        <w:rPr/>
        <w:t xml:space="preserve">Dwelling qualified for the main-residence CGT exemption </w:t>
      </w:r>
      <w:r>
        <w:rPr>
          <w:b/>
        </w:rPr>
        <w:t xml:space="preserve">in whole or part</w:t>
      </w:r>
      <w:r>
        <w:rPr/>
        <w:t xml:space="preserve">: </w:t>
      </w:r>
      <w:r>
        <w:rPr>
          <w:b/>
        </w:rPr>
        <w:t xml:space="preserve">Yes</w:t>
      </w:r>
      <w:r>
        <w:rPr/>
        <w:t xml:space="preserve"> (partial is sufficient). ✔</w:t>
      </w:r>
    </w:p>
    <w:p>
      <w:pPr>
        <w:numPr>
          <w:ilvl w:val="0"/>
          <w:numId w:val="10"/>
        </w:numPr>
        <w:spacing w:lineRule="auto"/>
      </w:pPr>
      <w:r>
        <w:rPr/>
        <w:t xml:space="preserve">Contribution within </w:t>
      </w:r>
      <w:r>
        <w:rPr>
          <w:b/>
        </w:rPr>
        <w:t xml:space="preserve">90 days of settlement</w:t>
      </w:r>
      <w:r>
        <w:rPr/>
        <w:t xml:space="preserve">; downsizer election lodged at/before contribution. ✔</w:t>
      </w:r>
    </w:p>
    <w:p>
      <w:pPr>
        <w:numPr>
          <w:ilvl w:val="0"/>
          <w:numId w:val="10"/>
        </w:numPr>
        <w:spacing w:lineRule="auto"/>
      </w:pPr>
      <w:r>
        <w:rPr/>
        <w:t xml:space="preserve">Does </w:t>
      </w:r>
      <w:r>
        <w:rPr>
          <w:b/>
        </w:rPr>
        <w:t xml:space="preserve">not</w:t>
      </w:r>
      <w:r>
        <w:rPr/>
        <w:t xml:space="preserve"> count against the NCC cap; </w:t>
      </w:r>
      <w:r>
        <w:rPr>
          <w:b/>
        </w:rPr>
        <w:t xml:space="preserve">no</w:t>
      </w:r>
      <w:r>
        <w:rPr/>
        <w:t xml:space="preserve"> TSB test; </w:t>
      </w:r>
      <w:r>
        <w:rPr>
          <w:b/>
        </w:rPr>
        <w:t xml:space="preserve">not</w:t>
      </w:r>
      <w:r>
        <w:rPr/>
        <w:t xml:space="preserve"> subject to the work test. ✔</w:t>
      </w:r>
    </w:p>
    <w:p>
      <w:pPr>
        <w:pStyle w:val="Heading3"/>
        <w:spacing w:lineRule="auto"/>
      </w:pPr>
      <w:r>
        <w:rPr>
          <w:color w:val="333333"/>
          <w:rFonts w:ascii="Helvetica" w:hAnsi="Helvetica"/>
          <w:sz w:val="21"/>
        </w:rPr>
        <w:t xml:space="preserve">Indicative numbers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Combined</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Downsizer 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$300,000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$300,000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up to $600,000</w:t>
            </w:r>
          </w:p>
        </w:tc>
      </w:tr>
    </w:tbl>
    <w:p>
      <w:pPr>
        <w:spacing w:lineRule="auto"/>
      </w:pPr>
      <w:r>
        <w:rPr/>
      </w:r>
    </w:p>
    <w:p>
      <w:pPr>
        <w:spacing w:lineRule="auto"/>
      </w:pPr>
      <w:r>
        <w:rPr/>
        <w:t xml:space="preserve">A $600,000 downsizer roughly </w:t>
      </w:r>
      <w:r>
        <w:rPr>
          <w:b/>
        </w:rPr>
        <w:t xml:space="preserve">doubles</w:t>
      </w:r>
      <w:r>
        <w:rPr/>
        <w:t xml:space="preserve"> household super (to ~$1.25M), lifting tax-free pension income to ~</w:t>
      </w:r>
      <w:r>
        <w:rPr>
          <w:b/>
        </w:rPr>
        <w:t xml:space="preserve">$62,500 p.a.</w:t>
      </w:r>
      <w:r>
        <w:rPr/>
        <w:t xml:space="preserve"> at a 5% drawdown — which, with Joanne's part-time income and the cash buffer, comfortably reaches the </w:t>
      </w:r>
      <w:r>
        <w:rPr>
          <w:b/>
        </w:rPr>
        <w:t xml:space="preserve">$75k</w:t>
      </w:r>
      <w:r>
        <w:rPr/>
        <w:t xml:space="preserve"> target.</w:t>
      </w:r>
    </w:p>
    <w:p>
      <w:pPr>
        <w:ind w:left="284"/>
        <w:jc w:val="both"/>
        <w:spacing w:lineRule="auto"/>
      </w:pPr>
      <w:r>
        <w:rPr>
          <w:b/>
        </w:rPr>
        <w:t xml:space="preserve">CGT note on the ~10-acre property — material.</w:t>
      </w:r>
      <w:r>
        <w:rPr/>
        <w:t xml:space="preserve"> The main-residence CGT exemption covers the dwelling </w:t>
      </w:r>
      <w:r>
        <w:rPr>
          <w:b/>
        </w:rPr>
        <w:t xml:space="preserve">plus up to 2 hectares</w:t>
      </w:r>
      <w:r>
        <w:rPr/>
        <w:t xml:space="preserve"> of adjacent land. At </w:t>
      </w:r>
      <w:r>
        <w:rPr/>
        <w:t xml:space="preserve">10 acres (</w:t>
      </w:r>
      <w:r>
        <w:rPr/>
        <w:t xml:space="preserve">4 hectares), </w:t>
      </w:r>
      <w:r>
        <w:rPr>
          <w:b/>
        </w:rPr>
        <w:t xml:space="preserve">roughly half the land may fall outside the exemption</w:t>
      </w:r>
      <w:r>
        <w:rPr/>
        <w:t xml:space="preserve"> and trigger a capital gain on sale. This is a real issue the "no CGT on the family home" assumption hides. </w:t>
      </w:r>
      <w:r>
        <w:rPr>
          <w:b/>
        </w:rPr>
        <w:t xml:space="preserve">Actions:</w:t>
      </w:r>
      <w:r>
        <w:rPr/>
        <w:t xml:space="preserve"> (a) obtain the </w:t>
      </w:r>
      <w:r>
        <w:rPr>
          <w:b/>
        </w:rPr>
        <w:t xml:space="preserve">purchase date and original price</w:t>
      </w:r>
      <w:r>
        <w:rPr/>
        <w:t xml:space="preserve"> to reconstruct the cost base; (b) obtain a </w:t>
      </w:r>
      <w:r>
        <w:rPr>
          <w:b/>
        </w:rPr>
        <w:t xml:space="preserve">valuation apportionment</w:t>
      </w:r>
      <w:r>
        <w:rPr/>
        <w:t xml:space="preserve"> between the ≤2ha exempt curtilage and the excess land; (c) model the CGT with Ben Cooper, ideally realising in a low-income year. Critically, </w:t>
      </w:r>
      <w:r>
        <w:rPr>
          <w:b/>
        </w:rPr>
        <w:t xml:space="preserve">downsizer eligibility survives</w:t>
      </w:r>
      <w:r>
        <w:rPr/>
        <w:t xml:space="preserve"> even where part of the gain is taxable, because the test only requires the dwelling to have qualified for the exemption </w:t>
      </w:r>
      <w:r>
        <w:rPr>
          <w:b/>
        </w:rPr>
        <w:t xml:space="preserve">in part</w:t>
      </w:r>
      <w:r>
        <w:rPr/>
        <w:t xml:space="preserve">. </w:t>
      </w:r>
      <w:r>
        <w:rPr>
          <w:b/>
        </w:rPr>
        <w:t xml:space="preserve">[TO CONFIRM land area and cost base.]</w:t>
      </w:r>
    </w:p>
    <w:p>
      <w:pPr>
        <w:ind w:left="284"/>
        <w:jc w:val="both"/>
        <w:spacing w:lineRule="auto"/>
      </w:pPr>
      <w:r>
        <w:rPr>
          <w:b/>
        </w:rPr>
        <w:t xml:space="preserve">Net-cash sequencing —</w:t>
      </w:r>
      <w:r>
        <w:rPr/>
        <w:t xml:space="preserve"> Downsizer can only come from sale proceeds, and those proceeds must also buy the replacement dwelling. Indicatively: a ~$800k replacement leaves ~$400k freed → a meaningful (though not full $600k) downsizer plus a buffer; a smaller unit/townhouse frees more. See the property decision tree (Section 18). </w:t>
      </w:r>
      <w:r>
        <w:rPr>
          <w:b/>
        </w:rPr>
        <w:t xml:space="preserve">[TO CONFIRM target replacement price.]</w:t>
      </w:r>
    </w:p>
    <w:p>
      <w:pPr>
        <w:spacing w:lineRule="auto"/>
      </w:pPr>
      <w:r>
        <w:rPr>
          <w:b/>
        </w:rPr>
        <w:t xml:space="preserve">Legislative basis.</w:t>
      </w:r>
      <w:r>
        <w:rPr/>
        <w:t xml:space="preserve"> ITAA 1997 s292-102 (downsizer contribution definition); ITAA 1997 s118-110 (main residence exemption); ITAA 1997 Div 115 (50% CGT discount).</w:t>
      </w:r>
    </w:p>
    <w:p>
      <w:pPr>
        <w:pStyle w:val="Heading2"/>
        <w:spacing w:lineRule="auto"/>
      </w:pPr>
      <w:r>
        <w:rPr>
          <w:color w:val="4C9A2A"/>
          <w:rFonts w:ascii="Helvetica" w:hAnsi="Helvetica"/>
          <w:sz w:val="26"/>
        </w:rPr>
        <w:t xml:space="preserve">12. Strategy 6 — Re-contribution: lifting the tax-free component for the children</w:t>
      </w:r>
    </w:p>
    <w:p>
      <w:pPr>
        <w:spacing w:lineRule="auto"/>
      </w:pPr>
      <w:r>
        <w:rPr>
          <w:b/>
        </w:rPr>
        <w:t xml:space="preserve">Why it matters.</w:t>
      </w:r>
      <w:r>
        <w:rPr/>
        <w:t xml:space="preserve"> Super death benefits paid to </w:t>
      </w:r>
      <w:r>
        <w:rPr>
          <w:b/>
        </w:rPr>
        <w:t xml:space="preserve">non-dependants</w:t>
      </w:r>
      <w:r>
        <w:rPr/>
        <w:t xml:space="preserve"> (Luke and Brittany) are taxed on the </w:t>
      </w:r>
      <w:r>
        <w:rPr>
          <w:b/>
        </w:rPr>
        <w:t xml:space="preserve">taxable component</w:t>
      </w:r>
      <w:r>
        <w:rPr/>
        <w:t xml:space="preserve"> at up to </w:t>
      </w:r>
      <w:r>
        <w:rPr>
          <w:b/>
        </w:rPr>
        <w:t xml:space="preserve">17%</w:t>
      </w:r>
      <w:r>
        <w:rPr/>
        <w:t xml:space="preserve"> (15% + Medicare); the </w:t>
      </w:r>
      <w:r>
        <w:rPr>
          <w:b/>
        </w:rPr>
        <w:t xml:space="preserve">tax-free component passes entirely tax-free</w:t>
      </w:r>
      <w:r>
        <w:rPr/>
        <w:t xml:space="preserve">. A re-contribution withdraws a lump sum (tax-free for a 65+ member) and re-contributes it as an NCC, converting </w:t>
      </w:r>
      <w:r>
        <w:rPr>
          <w:b/>
        </w:rPr>
        <w:t xml:space="preserve">taxable → tax-free</w:t>
      </w:r>
      <w:r>
        <w:rPr/>
        <w:t xml:space="preserve"> component permanently.</w:t>
      </w:r>
    </w:p>
    <w:p>
      <w:pPr>
        <w:spacing w:lineRule="auto"/>
      </w:pPr>
      <w:r>
        <w:rPr>
          <w:b/>
        </w:rPr>
        <w:t xml:space="preserve">Indicative impact (illustrative — assumes Michael's $576,703 is largely taxable component [TO CONFIRM proportions from SMSF member records]).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Death-benefits tax to children @17%</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Taxable component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~$576,700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a $360,000 re-contribution (3-yr NCC bring-forward)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Taxable ~$216,700 / Tax-free ~$360,000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~$36,800 — </w:t>
            </w:r>
          </w:p>
          <w:p>
            <w:pPr>
              <w:spacing w:lineRule="auto"/>
            </w:pPr>
            <w:r>
              <w:rPr>
                <w:b/>
              </w:rPr>
              <w:t xml:space="preserve">saving ~$61,000</w:t>
            </w:r>
          </w:p>
        </w:tc>
      </w:tr>
    </w:tbl>
    <w:p>
      <w:pPr>
        <w:spacing w:lineRule="auto"/>
      </w:pPr>
      <w:r>
        <w:rPr/>
      </w:r>
    </w:p>
    <w:p>
      <w:pPr>
        <w:spacing w:lineRule="auto"/>
      </w:pPr>
      <w:r>
        <w:rPr>
          <w:b/>
        </w:rPr>
        <w:t xml:space="preserve">Mechanics &amp; limits.</w:t>
      </w:r>
    </w:p>
    <w:p>
      <w:pPr>
        <w:numPr>
          <w:ilvl w:val="0"/>
          <w:numId w:val="11"/>
        </w:numPr>
        <w:spacing w:lineRule="auto"/>
      </w:pPr>
      <w:r>
        <w:rPr/>
        <w:t xml:space="preserve">Michael (67) is </w:t>
      </w:r>
      <w:r>
        <w:rPr>
          <w:b/>
        </w:rPr>
        <w:t xml:space="preserve">under 75</w:t>
      </w:r>
      <w:r>
        <w:rPr/>
        <w:t xml:space="preserve">, so NCCs including a $360,000 bring-forward are available, subject to his TSB at the relevant test date.</w:t>
      </w:r>
    </w:p>
    <w:p>
      <w:pPr>
        <w:numPr>
          <w:ilvl w:val="0"/>
          <w:numId w:val="11"/>
        </w:numPr>
        <w:spacing w:lineRule="auto"/>
      </w:pPr>
      <w:r>
        <w:rPr/>
        <w:t xml:space="preserve">Best executed </w:t>
      </w:r>
      <w:r>
        <w:rPr>
          <w:b/>
        </w:rPr>
        <w:t xml:space="preserve">after Michael retires</w:t>
      </w:r>
      <w:r>
        <w:rPr/>
        <w:t xml:space="preserve">, and can be paired with the downsizer year — the </w:t>
      </w:r>
      <w:r>
        <w:rPr>
          <w:b/>
        </w:rPr>
        <w:t xml:space="preserve">downsizer does not consume NCC cap</w:t>
      </w:r>
      <w:r>
        <w:rPr/>
        <w:t xml:space="preserve">, so a downsizer and re-contribution can both run in the same period.</w:t>
      </w:r>
    </w:p>
    <w:p>
      <w:pPr>
        <w:numPr>
          <w:ilvl w:val="0"/>
          <w:numId w:val="11"/>
        </w:numPr>
        <w:spacing w:lineRule="auto"/>
      </w:pPr>
      <w:r>
        <w:rPr/>
        <w:t xml:space="preserve">Document the withdrawal and re-contribution trail for clean component tracking.</w:t>
      </w:r>
    </w:p>
    <w:p>
      <w:pPr>
        <w:numPr>
          <w:ilvl w:val="0"/>
          <w:numId w:val="11"/>
        </w:numPr>
        <w:spacing w:lineRule="auto"/>
      </w:pPr>
      <w:r>
        <w:rPr/>
        <w:t xml:space="preserve">Consider a </w:t>
      </w:r>
      <w:r>
        <w:rPr>
          <w:b/>
        </w:rPr>
        <w:t xml:space="preserve">partial re-contribution to Joanne</w:t>
      </w:r>
      <w:r>
        <w:rPr/>
        <w:t xml:space="preserve"> as well (balance equalisation — Section 14), provided her TBC capacity is preserved.</w:t>
      </w:r>
    </w:p>
    <w:p>
      <w:pPr>
        <w:spacing w:lineRule="auto"/>
      </w:pPr>
      <w:r>
        <w:rPr>
          <w:b/>
        </w:rPr>
        <w:t xml:space="preserve">Legislative basis.</w:t>
      </w:r>
      <w:r>
        <w:rPr/>
        <w:t xml:space="preserve"> ITAA 1997 s307-125 (proportioning rule); ITAA 1997 s292 (NCC cap &amp; bring-forward).</w:t>
      </w:r>
    </w:p>
    <w:p>
      <w:pPr>
        <w:pStyle w:val="Heading2"/>
        <w:spacing w:lineRule="auto"/>
      </w:pPr>
      <w:r>
        <w:rPr>
          <w:color w:val="4C9A2A"/>
          <w:rFonts w:ascii="Helvetica" w:hAnsi="Helvetica"/>
          <w:sz w:val="26"/>
        </w:rPr>
        <w:t xml:space="preserve">13. Strategy 7 — SMSF structure decision (retain vs wind up)</w:t>
      </w:r>
    </w:p>
    <w:p>
      <w:pPr>
        <w:spacing w:lineRule="auto"/>
      </w:pPr>
      <w:r>
        <w:rPr/>
        <w:t xml:space="preserve">The email chain records Michael's understanding that </w:t>
      </w:r>
      <w:r>
        <w:rPr/>
        <w:t xml:space="preserve">"our JEMJWILLIAMS SMSF will cease to exist"</w:t>
      </w:r>
      <w:r>
        <w:rPr/>
        <w:t xml:space="preserve"> and </w:t>
      </w:r>
      <w:r>
        <w:rPr/>
        <w:t xml:space="preserve">"Lakeside turns our super into a family trust and manages the investments."</w:t>
      </w:r>
      <w:r>
        <w:rPr/>
        <w:t xml:space="preserve"> This is the point in the file most needing careful, </w:t>
      </w:r>
      <w:r>
        <w:rPr>
          <w:b/>
        </w:rPr>
        <w:t xml:space="preserve">conflict-aware</w:t>
      </w:r>
      <w:r>
        <w:rPr/>
        <w:t xml:space="preserve"> advice:</w:t>
      </w:r>
    </w:p>
    <w:p>
      <w:pPr>
        <w:numPr>
          <w:ilvl w:val="0"/>
          <w:numId w:val="12"/>
        </w:numPr>
        <w:spacing w:lineRule="auto"/>
      </w:pPr>
      <w:r>
        <w:rPr>
          <w:b/>
        </w:rPr>
        <w:t xml:space="preserve">Super stays in super.</w:t>
      </w:r>
      <w:r>
        <w:rPr/>
        <w:t xml:space="preserve"> Whether in an SMSF or a managed/retail/industry pension, the money stays in the superannuation system — it does </w:t>
      </w:r>
      <w:r>
        <w:rPr>
          <w:b/>
        </w:rPr>
        <w:t xml:space="preserve">not</w:t>
      </w:r>
      <w:r>
        <w:rPr/>
        <w:t xml:space="preserve"> become a "family trust." The </w:t>
      </w:r>
      <w:r>
        <w:rPr/>
        <w:t xml:space="preserve">testamentary trust</w:t>
      </w:r>
      <w:r>
        <w:rPr/>
        <w:t xml:space="preserve"> is an </w:t>
      </w:r>
      <w:r>
        <w:rPr>
          <w:b/>
        </w:rPr>
        <w:t xml:space="preserve">estate</w:t>
      </w:r>
      <w:r>
        <w:rPr/>
        <w:t xml:space="preserve"> structure that only operates on death; it is separate from where super is invested during life.</w:t>
      </w:r>
    </w:p>
    <w:p>
      <w:pPr>
        <w:numPr>
          <w:ilvl w:val="0"/>
          <w:numId w:val="12"/>
        </w:numPr>
        <w:spacing w:lineRule="auto"/>
      </w:pPr>
      <w:r>
        <w:rPr>
          <w:b/>
        </w:rPr>
        <w:t xml:space="preserve">The real decision</w:t>
      </w:r>
      <w:r>
        <w:rPr/>
        <w:t xml:space="preserve"> is </w:t>
      </w:r>
      <w:r>
        <w:rPr>
          <w:b/>
        </w:rPr>
        <w:t xml:space="preserve">retain the SMSF</w:t>
      </w:r>
      <w:r>
        <w:rPr/>
        <w:t xml:space="preserve"> (low ongoing cost — FY25 accountancy/audit ~$3,616; full control; ~7.2% history) </w:t>
      </w:r>
      <w:r>
        <w:rPr>
          <w:b/>
        </w:rPr>
        <w:t xml:space="preserve">or wind up</w:t>
      </w:r>
      <w:r>
        <w:rPr/>
        <w:t xml:space="preserve"> and move to a Lakeside-managed pension (simpler administration, professional management, but ongoing advice/management fees and loss of direct control).</w:t>
      </w:r>
    </w:p>
    <w:p>
      <w:pPr>
        <w:spacing w:lineRule="auto"/>
      </w:pPr>
      <w:r>
        <w:rPr>
          <w:b/>
        </w:rPr>
        <w:t xml:space="preserve">Adviser framing (recommended for the client conversation):</w:t>
      </w:r>
      <w:r>
        <w:rPr/>
        <w:t xml:space="preserve"> present both paths neutrally, </w:t>
      </w:r>
      <w:r>
        <w:rPr>
          <w:b/>
        </w:rPr>
        <w:t xml:space="preserve">show the fee differences explicitly</w:t>
      </w:r>
      <w:r>
        <w:rPr/>
        <w:t xml:space="preserve">, and be transparent that a Lakeside-managed solution generates ongoing revenue for the firm. The </w:t>
      </w:r>
      <w:r>
        <w:rPr>
          <w:b/>
        </w:rPr>
        <w:t xml:space="preserve">investment de-risking</w:t>
      </w:r>
      <w:r>
        <w:rPr/>
        <w:t xml:space="preserve"> (Section 14) can be achieved </w:t>
      </w:r>
      <w:r>
        <w:rPr>
          <w:b/>
        </w:rPr>
        <w:t xml:space="preserve">inside the existing SMSF</w:t>
      </w:r>
      <w:r>
        <w:rPr/>
        <w:t xml:space="preserve"> — so a wind-up should be justified on administration/simplicity grounds, </w:t>
      </w:r>
      <w:r>
        <w:rPr>
          <w:b/>
        </w:rPr>
        <w:t xml:space="preserve">not</w:t>
      </w:r>
      <w:r>
        <w:rPr/>
        <w:t xml:space="preserve"> used as a backdoor to a re-weighting the SMSF could do itself.</w:t>
      </w:r>
    </w:p>
    <w:p>
      <w:pPr>
        <w:ind w:left="284"/>
        <w:jc w:val="both"/>
        <w:spacing w:lineRule="auto"/>
      </w:pPr>
      <w:r>
        <w:rPr>
          <w:b/>
        </w:rPr>
        <w:t xml:space="preserve">Restructure timing —</w:t>
      </w:r>
      <w:r>
        <w:rPr/>
        <w:t xml:space="preserve"> If a wind-up is chosen, do it </w:t>
      </w:r>
      <w:r>
        <w:rPr>
          <w:b/>
        </w:rPr>
        <w:t xml:space="preserve">after</w:t>
      </w:r>
      <w:r>
        <w:rPr/>
        <w:t xml:space="preserve"> pension phase commences. Selling the cash-heavy portfolio then occurs at </w:t>
      </w:r>
      <w:r>
        <w:rPr>
          <w:b/>
        </w:rPr>
        <w:t xml:space="preserve">0% CGT</w:t>
      </w:r>
      <w:r>
        <w:rPr/>
        <w:t xml:space="preserve"> (pension-phase earnings are exempt) — the cleanest possible time to restructure. Doing it in accumulation would expose gains to 10–15% tax unnecessarily.</w:t>
      </w:r>
    </w:p>
    <w:p>
      <w:pPr>
        <w:pStyle w:val="Heading2"/>
        <w:spacing w:lineRule="auto"/>
      </w:pPr>
      <w:r>
        <w:rPr>
          <w:color w:val="4C9A2A"/>
          <w:rFonts w:ascii="Helvetica" w:hAnsi="Helvetica"/>
          <w:sz w:val="26"/>
        </w:rPr>
        <w:t xml:space="preserve">14. Strategy 8 — Investment structure review: de-risk the SMSF &amp; equalise balances</w:t>
      </w:r>
    </w:p>
    <w:p>
      <w:pPr>
        <w:pStyle w:val="Heading3"/>
        <w:spacing w:lineRule="auto"/>
      </w:pPr>
      <w:r>
        <w:rPr>
          <w:color w:val="333333"/>
          <w:rFonts w:ascii="Helvetica" w:hAnsi="Helvetica"/>
          <w:sz w:val="21"/>
        </w:rPr>
        <w:t xml:space="preserve">Asset allocation</w:t>
      </w:r>
    </w:p>
    <w:p>
      <w:pPr>
        <w:spacing w:lineRule="auto"/>
      </w:pPr>
      <w:r>
        <w:rPr/>
        <w:t xml:space="preserve">The fund is </w:t>
      </w:r>
      <w:r>
        <w:rPr>
          <w:b/>
        </w:rPr>
        <w:t xml:space="preserve">~60–65% cash</w:t>
      </w:r>
      <w:r>
        <w:rPr/>
        <w:t xml:space="preserve"> ($410,214 in ANZ term deposits and savers) plus a concentrated equity sleeve dominated by </w:t>
      </w:r>
      <w:r>
        <w:rPr>
          <w:b/>
        </w:rPr>
        <w:t xml:space="preserve">CBA (~$90,000, overweight)</w:t>
      </w:r>
      <w:r>
        <w:rPr/>
        <w:t xml:space="preserve">. Two issues:</w:t>
      </w:r>
    </w:p>
    <w:p>
      <w:pPr>
        <w:numPr>
          <w:ilvl w:val="0"/>
          <w:numId w:val="13"/>
        </w:numPr>
        <w:spacing w:lineRule="auto"/>
      </w:pPr>
      <w:r>
        <w:rPr>
          <w:b/>
        </w:rPr>
        <w:t xml:space="preserve">Too much cash for a 25–30 year horizon</w:t>
      </w:r>
      <w:r>
        <w:rPr/>
        <w:t xml:space="preserve"> — a 60%+ cash weighting won't keep pace with inflation; the household's 7.2% history was achieved largely on the equity sleeve </w:t>
      </w:r>
      <w:r>
        <w:rPr>
          <w:b/>
        </w:rPr>
        <w:t xml:space="preserve">despite</w:t>
      </w:r>
      <w:r>
        <w:rPr/>
        <w:t xml:space="preserve"> the cash drag.</w:t>
      </w:r>
    </w:p>
    <w:p>
      <w:pPr>
        <w:numPr>
          <w:ilvl w:val="0"/>
          <w:numId w:val="13"/>
        </w:numPr>
        <w:spacing w:lineRule="auto"/>
      </w:pPr>
      <w:r>
        <w:rPr>
          <w:b/>
        </w:rPr>
        <w:t xml:space="preserve">Single-stock concentration</w:t>
      </w:r>
      <w:r>
        <w:rPr/>
        <w:t xml:space="preserve"> — a ~$90k CBA position is a large idiosyncratic bet for a retirement fund.</w:t>
      </w:r>
    </w:p>
    <w:p>
      <w:pPr>
        <w:spacing w:lineRule="auto"/>
      </w:pPr>
      <w:r>
        <w:rPr>
          <w:b/>
        </w:rPr>
        <w:t xml:space="preserve">Recommended — a "bucket" strategy for pension phase:</w:t>
      </w:r>
    </w:p>
    <w:p>
      <w:pPr>
        <w:numPr>
          <w:ilvl w:val="0"/>
          <w:numId w:val="14"/>
        </w:numPr>
        <w:spacing w:lineRule="auto"/>
      </w:pPr>
      <w:r>
        <w:rPr>
          <w:b/>
        </w:rPr>
        <w:t xml:space="preserve">Bucket 1 (1–2 yrs of pension payments):</w:t>
      </w:r>
      <w:r>
        <w:rPr/>
        <w:t xml:space="preserve"> cash / at-call (from the existing large cash holding).</w:t>
      </w:r>
    </w:p>
    <w:p>
      <w:pPr>
        <w:numPr>
          <w:ilvl w:val="0"/>
          <w:numId w:val="14"/>
        </w:numPr>
        <w:spacing w:lineRule="auto"/>
      </w:pPr>
      <w:r>
        <w:rPr>
          <w:b/>
        </w:rPr>
        <w:t xml:space="preserve">Bucket 2 (3–7 yrs):</w:t>
      </w:r>
      <w:r>
        <w:rPr/>
        <w:t xml:space="preserve"> defensive / income (term deposits, fixed interest, conservative funds).</w:t>
      </w:r>
    </w:p>
    <w:p>
      <w:pPr>
        <w:numPr>
          <w:ilvl w:val="0"/>
          <w:numId w:val="14"/>
        </w:numPr>
        <w:spacing w:lineRule="auto"/>
      </w:pPr>
      <w:r>
        <w:rPr>
          <w:b/>
        </w:rPr>
        <w:t xml:space="preserve">Bucket 3 (7+ yrs):</w:t>
      </w:r>
      <w:r>
        <w:rPr/>
        <w:t xml:space="preserve"> diversified growth (broad equities / managed funds) — funded partly by </w:t>
      </w:r>
      <w:r>
        <w:rPr>
          <w:b/>
        </w:rPr>
        <w:t xml:space="preserve">trimming the CBA overweight</w:t>
      </w:r>
      <w:r>
        <w:rPr/>
        <w:t xml:space="preserve">.</w:t>
      </w:r>
    </w:p>
    <w:p>
      <w:pPr>
        <w:spacing w:lineRule="auto"/>
      </w:pPr>
      <w:r>
        <w:rPr/>
        <w:t xml:space="preserve">Re-weighting is best executed </w:t>
      </w:r>
      <w:r>
        <w:rPr>
          <w:b/>
        </w:rPr>
        <w:t xml:space="preserve">in pension phase</w:t>
      </w:r>
      <w:r>
        <w:rPr/>
        <w:t xml:space="preserve"> (0% CGT on required sales), and can be done </w:t>
      </w:r>
      <w:r>
        <w:rPr>
          <w:b/>
        </w:rPr>
        <w:t xml:space="preserve">inside the SMSF</w:t>
      </w:r>
      <w:r>
        <w:rPr/>
        <w:t xml:space="preserve"> regardless of the Section 13 structure decision.</w:t>
      </w:r>
    </w:p>
    <w:p>
      <w:pPr>
        <w:pStyle w:val="Heading3"/>
        <w:spacing w:lineRule="auto"/>
      </w:pPr>
      <w:r>
        <w:rPr>
          <w:color w:val="333333"/>
          <w:rFonts w:ascii="Helvetica" w:hAnsi="Helvetica"/>
          <w:sz w:val="21"/>
        </w:rPr>
        <w:t xml:space="preserve">Balance equalisation</w:t>
      </w:r>
    </w:p>
    <w:p>
      <w:pPr>
        <w:spacing w:lineRule="auto"/>
      </w:pPr>
      <w:r>
        <w:rPr/>
        <w:t xml:space="preserve">Joanne's balance (</w:t>
      </w:r>
      <w:r>
        <w:rPr/>
        <w:t xml:space="preserve">$73k) is far smaller than Michael's (</w:t>
      </w:r>
      <w:r>
        <w:rPr/>
        <w:t xml:space="preserve">$577k). Building Joanne's balance (via spouse contribution, spouse split, downsizer to Joanne, partial re-contribution to Joanne) </w:t>
      </w:r>
      <w:r>
        <w:rPr>
          <w:b/>
        </w:rPr>
        <w:t xml:space="preserve">uses both members' $2.0M Transfer Balance Caps</w:t>
      </w:r>
      <w:r>
        <w:rPr/>
        <w:t xml:space="preserve"> and improves flexibility and resilience (e.g. if the first death is Michael's, more of the couple's wealth is already in Joanne's name and pension).</w:t>
      </w:r>
    </w:p>
    <w:p>
      <w:pPr>
        <w:pStyle w:val="Heading2"/>
        <w:spacing w:lineRule="auto"/>
      </w:pPr>
      <w:r>
        <w:rPr>
          <w:color w:val="4C9A2A"/>
          <w:rFonts w:ascii="Helvetica" w:hAnsi="Helvetica"/>
          <w:sz w:val="26"/>
        </w:rPr>
        <w:t xml:space="preserve">15. Strategy 9 — Insurance: cancel TPD, retain Life</w:t>
      </w:r>
    </w:p>
    <w:p>
      <w:pPr>
        <w:spacing w:lineRule="auto"/>
      </w:pPr>
      <w:r>
        <w:rPr/>
        <w:t xml:space="preserve">Michael holds via the SMSF </w:t>
      </w:r>
      <w:r>
        <w:rPr>
          <w:b/>
        </w:rPr>
        <w:t xml:space="preserve">$600,000 Life</w:t>
      </w:r>
      <w:r>
        <w:rPr/>
        <w:t xml:space="preserve"> and </w:t>
      </w:r>
      <w:r>
        <w:rPr>
          <w:b/>
        </w:rPr>
        <w:t xml:space="preserve">$300,000 TPD</w:t>
      </w:r>
      <w:r>
        <w:rPr/>
        <w:t xml:space="preserve"> with </w:t>
      </w:r>
      <w:r>
        <w:rPr>
          <w:b/>
        </w:rPr>
        <w:t xml:space="preserve">Zurich</w:t>
      </w:r>
      <w:r>
        <w:rPr/>
        <w:t xml:space="preserve">, premiums ~</w:t>
      </w:r>
      <w:r>
        <w:rPr>
          <w:b/>
        </w:rPr>
        <w:t xml:space="preserve">$14,000 p.a.</w:t>
      </w:r>
      <w:r>
        <w:rPr/>
        <w:t xml:space="preserve"> and rising. The FY25 SMSF accounts confirm </w:t>
      </w:r>
      <w:r>
        <w:rPr>
          <w:b/>
        </w:rPr>
        <w:t xml:space="preserve">$12,467 of term-insurance expense</w:t>
      </w:r>
      <w:r>
        <w:rPr/>
        <w:t xml:space="preserve"> ran through Michael's member account — the premiums are </w:t>
      </w:r>
      <w:r>
        <w:rPr>
          <w:b/>
        </w:rPr>
        <w:t xml:space="preserve">directly eroding his super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$300,000 TPD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Likely an </w:t>
            </w:r>
          </w:p>
          <w:p>
            <w:pPr>
              <w:spacing w:lineRule="auto"/>
            </w:pPr>
            <w:r>
              <w:rPr>
                <w:b/>
              </w:rPr>
              <w:t xml:space="preserve">"Activities of Daily Living"</w:t>
            </w:r>
          </w:p>
          <w:p>
            <w:pPr>
              <w:spacing w:lineRule="auto"/>
            </w:pPr>
            <w:r>
              <w:rPr/>
              <w:t xml:space="preserve"> definition — very hard to claim and of limited value. With the household </w:t>
            </w:r>
          </w:p>
          <w:p>
            <w:pPr>
              <w:spacing w:lineRule="auto"/>
            </w:pPr>
            <w:r>
              <w:rPr>
                <w:b/>
              </w:rPr>
              <w:t xml:space="preserve">debt-free</w:t>
            </w:r>
          </w:p>
          <w:p>
            <w:pPr>
              <w:spacing w:lineRule="auto"/>
            </w:pPr>
            <w:r>
              <w:rPr/>
              <w:t xml:space="preserve"> and at/near retirement, the cover serves little purpose; removing it stops a meaningful drain on the SMSF.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$600,000 Life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Given the leukaemia diagnosis, </w:t>
            </w:r>
          </w:p>
          <w:p>
            <w:pPr>
              <w:spacing w:lineRule="auto"/>
            </w:pPr>
            <w:r>
              <w:rPr>
                <w:b/>
              </w:rPr>
              <w:t xml:space="preserve">replacement cover is effectively unobtainable</w:t>
            </w:r>
          </w:p>
          <w:p>
            <w:pPr>
              <w:spacing w:lineRule="auto"/>
            </w:pPr>
            <w:r>
              <w:rPr/>
              <w:t xml:space="preserve">. The policy is valuable precisely because it is already in force. Retain — at least until the estate strategy and liquidity are settled.</w:t>
            </w:r>
          </w:p>
        </w:tc>
      </w:tr>
    </w:tbl>
    <w:p>
      <w:pPr>
        <w:spacing w:lineRule="auto"/>
      </w:pPr>
      <w:r>
        <w:rPr/>
      </w:r>
    </w:p>
    <w:p>
      <w:pPr>
        <w:ind w:left="284"/>
        <w:jc w:val="both"/>
        <w:spacing w:lineRule="auto"/>
      </w:pPr>
      <w:r>
        <w:rPr>
          <w:b/>
        </w:rPr>
        <w:t xml:space="preserve">Confirm before acting:</w:t>
      </w:r>
      <w:r>
        <w:rPr/>
        <w:t xml:space="preserve"> the exact </w:t>
      </w:r>
      <w:r>
        <w:rPr>
          <w:b/>
        </w:rPr>
        <w:t xml:space="preserve">TPD definition</w:t>
      </w:r>
      <w:r>
        <w:rPr/>
        <w:t xml:space="preserve">, whether Life and TPD are </w:t>
      </w:r>
      <w:r>
        <w:rPr>
          <w:b/>
        </w:rPr>
        <w:t xml:space="preserve">bundled</w:t>
      </w:r>
      <w:r>
        <w:rPr/>
        <w:t xml:space="preserve"> (cancelling TPD must not jeopardise the Life policy/renewability), and the precise premium split. Reducing the insurance drag also modestly improves the re-contribution and pension numbers above. </w:t>
      </w:r>
      <w:r>
        <w:rPr>
          <w:b/>
        </w:rPr>
        <w:t xml:space="preserve">[TO CONFIRM — Zurich policy schedule.]</w:t>
      </w:r>
    </w:p>
    <w:p>
      <w:pPr>
        <w:ind w:left="284"/>
        <w:jc w:val="both"/>
        <w:spacing w:lineRule="auto"/>
      </w:pPr>
      <w:r>
        <w:rPr>
          <w:b/>
        </w:rPr>
        <w:t xml:space="preserve">Income protection —</w:t>
      </w:r>
      <w:r>
        <w:rPr/>
        <w:t xml:space="preserve"> No standalone IP appears to be held (the email states the only cover is "the one with the super fund"). New IP is not obtainable given the diagnosis — noted, not actionable. Joanne's position </w:t>
      </w:r>
      <w:r>
        <w:rPr>
          <w:b/>
        </w:rPr>
        <w:t xml:space="preserve">[TO CONFIRM]</w:t>
      </w:r>
      <w:r>
        <w:rPr/>
        <w:t xml:space="preserve">.</w:t>
      </w:r>
    </w:p>
    <w:p>
      <w:pPr>
        <w:pStyle w:val="Heading2"/>
        <w:spacing w:lineRule="auto"/>
      </w:pPr>
      <w:r>
        <w:rPr>
          <w:color w:val="4C9A2A"/>
          <w:rFonts w:ascii="Helvetica" w:hAnsi="Helvetica"/>
          <w:sz w:val="26"/>
        </w:rPr>
        <w:t xml:space="preserve">16. Strategy 10 — Concessional contributions while Michael works</w:t>
      </w:r>
    </w:p>
    <w:p>
      <w:pPr>
        <w:spacing w:lineRule="auto"/>
      </w:pPr>
      <w:r>
        <w:rPr/>
        <w:t xml:space="preserve">While Michael remains employed (~$117k, 30% bracket), personal deductible or salary-sacrifice contributions up to the </w:t>
      </w:r>
      <w:r>
        <w:rPr>
          <w:b/>
        </w:rPr>
        <w:t xml:space="preserve">$30,000 concessional cap</w:t>
      </w:r>
      <w:r>
        <w:rPr/>
        <w:t xml:space="preserve"> (net of employer SG) save </w:t>
      </w:r>
      <w:r>
        <w:rPr>
          <w:b/>
        </w:rPr>
        <w:t xml:space="preserve">30% income tax for 15% contributions tax = ~15% net benefit</w:t>
      </w:r>
      <w:r>
        <w:rPr/>
        <w:t xml:space="preserve">. Confirm year-to-date SG with AusNet before contributing to avoid breaching the cap.</w:t>
      </w:r>
    </w:p>
    <w:p>
      <w:pPr>
        <w:numPr>
          <w:ilvl w:val="0"/>
          <w:numId w:val="15"/>
        </w:numPr>
        <w:spacing w:lineRule="auto"/>
      </w:pPr>
      <w:r>
        <w:rPr>
          <w:b/>
        </w:rPr>
        <w:t xml:space="preserve">Joanne</w:t>
      </w:r>
      <w:r>
        <w:rPr/>
        <w:t xml:space="preserve"> (TSB &lt; $500k) is eligible to </w:t>
      </w:r>
      <w:r>
        <w:rPr>
          <w:b/>
        </w:rPr>
        <w:t xml:space="preserve">carry forward</w:t>
      </w:r>
      <w:r>
        <w:rPr/>
        <w:t xml:space="preserve"> unused concessional cap — but at her low rate the deduction is worth little, so her capacity is better used as the NCC for the co-contribution (Section 17). </w:t>
      </w:r>
      <w:r>
        <w:rPr>
          <w:b/>
        </w:rPr>
        <w:t xml:space="preserve">[TO CONFIRM]</w:t>
      </w:r>
      <w:r>
        <w:rPr/>
        <w:t xml:space="preserve"> her prior-year concessional history (</w:t>
      </w:r>
      <w:r>
        <w:rPr/>
        <w:t xml:space="preserve">"if it's the super fund it's minimal"</w:t>
      </w:r>
      <w:r>
        <w:rPr/>
        <w:t xml:space="preserve">).</w:t>
      </w:r>
    </w:p>
    <w:p>
      <w:pPr>
        <w:numPr>
          <w:ilvl w:val="0"/>
          <w:numId w:val="15"/>
        </w:numPr>
        <w:spacing w:lineRule="auto"/>
      </w:pPr>
      <w:r>
        <w:rPr>
          <w:b/>
        </w:rPr>
        <w:t xml:space="preserve">Michael</w:t>
      </w:r>
      <w:r>
        <w:rPr/>
        <w:t xml:space="preserve"> (TSB &gt; $500k) </w:t>
      </w:r>
      <w:r>
        <w:rPr>
          <w:b/>
        </w:rPr>
        <w:t xml:space="preserve">cannot</w:t>
      </w:r>
      <w:r>
        <w:rPr/>
        <w:t xml:space="preserve"> carry forward — limited to the standard annual cap.</w:t>
      </w:r>
    </w:p>
    <w:p>
      <w:pPr>
        <w:spacing w:lineRule="auto"/>
      </w:pPr>
      <w:r>
        <w:rPr>
          <w:b/>
        </w:rPr>
        <w:t xml:space="preserve">Legislative basis.</w:t>
      </w:r>
      <w:r>
        <w:rPr/>
        <w:t xml:space="preserve"> ITAA 1997 Div 291 (concessional cap); s290-170 (notice of intent to deduct).</w:t>
      </w:r>
    </w:p>
    <w:p>
      <w:pPr>
        <w:pStyle w:val="Heading2"/>
        <w:spacing w:lineRule="auto"/>
      </w:pPr>
      <w:r>
        <w:rPr>
          <w:color w:val="4C9A2A"/>
          <w:rFonts w:ascii="Helvetica" w:hAnsi="Helvetica"/>
          <w:sz w:val="26"/>
        </w:rPr>
        <w:t xml:space="preserve">17. Strategy 11 — Joanne's low-income super incentives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Incentive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Eligibility (Joanne)</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Spouse contribution 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 contributes up to $3,000 to Joanne's super → 18% 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w:t>
            </w:r>
          </w:p>
          <w:p>
            <w:pPr>
              <w:spacing w:lineRule="auto"/>
            </w:pPr>
            <w:r>
              <w:rPr>
                <w:b/>
              </w:rPr>
              <w:t xml:space="preserve">$540</w:t>
            </w:r>
          </w:p>
          <w:p>
            <w:pPr>
              <w:spacing w:lineRule="auto"/>
            </w:pPr>
            <w:r>
              <w:rPr/>
              <w:t xml:space="preserve"> to 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Income &lt; $37,000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Government co-contribution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Joanne makes a $1,000 personal NCC (no notice of 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w:t>
            </w:r>
          </w:p>
          <w:p>
            <w:pPr>
              <w:spacing w:lineRule="auto"/>
            </w:pPr>
            <w:r>
              <w:rPr>
                <w:b/>
              </w:rPr>
              <w:t xml:space="preserve">$500</w:t>
            </w:r>
          </w:p>
          <w:p>
            <w:pPr>
              <w:spacing w:lineRule="auto"/>
            </w:pPr>
            <w:r>
              <w:rPr/>
              <w:t xml:space="preserve"> added by the 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Income &lt; $45,400; 10% from work ✔ </w:t>
            </w:r>
          </w:p>
          <w:p>
            <w:pPr>
              <w:spacing w:lineRule="auto"/>
            </w:pPr>
            <w:r>
              <w:rPr>
                <w:b/>
              </w:rPr>
              <w:t xml:space="preserve">[while she keeps earning]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LISTO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ATO refunds the 15% contributions tax on concessional contributions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w:t>
            </w:r>
          </w:p>
          <w:p>
            <w:pPr>
              <w:spacing w:lineRule="auto"/>
            </w:pPr>
            <w:r>
              <w:rPr>
                <w:b/>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Adjusted taxable income &lt; $37,000 ✔</w:t>
            </w:r>
          </w:p>
        </w:tc>
      </w:tr>
    </w:tbl>
    <w:p>
      <w:pPr>
        <w:spacing w:lineRule="auto"/>
      </w:pPr>
      <w:r>
        <w:rPr/>
      </w:r>
    </w:p>
    <w:p>
      <w:pPr>
        <w:spacing w:lineRule="auto"/>
      </w:pPr>
      <w:r>
        <w:rPr/>
        <w:t xml:space="preserve">Combined, this is </w:t>
      </w:r>
      <w:r>
        <w:rPr>
          <w:b/>
        </w:rPr>
        <w:t xml:space="preserve">~$1,000+ of "free" money into Joanne's super each year</w:t>
      </w:r>
      <w:r>
        <w:rPr/>
        <w:t xml:space="preserve"> for a modest net outlay — small individually but worth capturing while she earns. Once Joanne fully stops working, the co-contribution's 10%-income test may no longer be met — </w:t>
      </w:r>
      <w:r>
        <w:rPr>
          <w:b/>
        </w:rPr>
        <w:t xml:space="preserve">capture it while eligible</w:t>
      </w:r>
      <w:r>
        <w:rPr/>
        <w:t xml:space="preserve">.</w:t>
      </w:r>
    </w:p>
    <w:p>
      <w:pPr>
        <w:spacing w:lineRule="auto"/>
      </w:pPr>
      <w:r>
        <w:rPr>
          <w:b/>
        </w:rPr>
        <w:t xml:space="preserve">Legislative basis.</w:t>
      </w:r>
      <w:r>
        <w:rPr/>
        <w:t xml:space="preserve"> ITAA 1997 s290-230 (spouse offset); Super (Government Co-contribution for Low Income Earners) Act 2003; ITAA 1997 Subdiv 312 (LISTO).</w:t>
      </w:r>
    </w:p>
    <w:p>
      <w:pPr>
        <w:pStyle w:val="Heading2"/>
        <w:spacing w:lineRule="auto"/>
      </w:pPr>
      <w:r>
        <w:rPr>
          <w:color w:val="4C9A2A"/>
          <w:rFonts w:ascii="Helvetica" w:hAnsi="Helvetica"/>
          <w:sz w:val="26"/>
        </w:rPr>
        <w:t xml:space="preserve">18. Property decision tree — the Menzies Creek downsize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00"/>
        <w:gridCol w:w="1800"/>
        <w:gridCol w:w="1800"/>
        <w:gridCol w:w="1800"/>
        <w:gridCol w:w="1800"/>
        <w:gridCol w:w="1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Indicative freed capital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Downsizer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w:t>
            </w:r>
          </w:p>
        </w:tc>
      </w:tr>
      <w:tblGrid>
        <w:gridCol w:w="1800"/>
        <w:gridCol w:w="1800"/>
        <w:gridCol w:w="1800"/>
        <w:gridCol w:w="1800"/>
        <w:gridCol w:w="1800"/>
        <w:gridCol w:w="1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 — Downsize, stay 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Sell ~$1.2M; buy ~$800k townhouse/unit in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~$350–400k after costs &amp; any CGT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~$300–400k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community ties; meaningful downsizer + buffer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Smaller downsizer than the $600k max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 — Downsize smaller /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Sell ~$1.2M; buy ~$600k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~$550–600k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w:t>
            </w:r>
          </w:p>
          <w:p>
            <w:pPr>
              <w:spacing w:lineRule="auto"/>
            </w:pPr>
            <w:r>
              <w:rPr>
                <w:b/>
              </w:rPr>
              <w:t xml:space="preserve">$600k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Maximises downsizer &amp; income; simplest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Bigger lifestyle change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 — Sell &amp; rent / travel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Sell ~$1.2M; rent or lifestyle base; "holidays — always"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~$1.0–1.1M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w:t>
            </w:r>
          </w:p>
          <w:p>
            <w:pPr>
              <w:spacing w:lineRule="auto"/>
            </w:pPr>
            <w:r>
              <w:rPr>
                <w:b/>
              </w:rPr>
              <w:t xml:space="preserve">$600k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Maximum capital &amp; flexibility; no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Loses an exempt asset; rent is an ongoing cost; Centrelink asset implications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 — Retain home (no downsize)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 Menzies Creek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disruption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Fails the income target robustly</w:t>
            </w:r>
          </w:p>
          <w:p>
            <w:pPr>
              <w:spacing w:lineRule="auto"/>
            </w:pPr>
            <w:r>
              <w:rPr/>
              <w:t xml:space="preserve">; 10 acres hard to maintain; no downsizer</w:t>
            </w:r>
          </w:p>
        </w:tc>
      </w:tr>
    </w:tbl>
    <w:p>
      <w:pPr>
        <w:spacing w:lineRule="auto"/>
      </w:pPr>
      <w:r>
        <w:rPr/>
      </w:r>
    </w:p>
    <w:p>
      <w:pPr>
        <w:spacing w:lineRule="auto"/>
      </w:pPr>
      <w:r>
        <w:rPr>
          <w:b/>
        </w:rPr>
        <w:t xml:space="preserve">Recommended approach.</w:t>
      </w:r>
      <w:r>
        <w:rPr/>
        <w:t xml:space="preserve"> Scenario </w:t>
      </w:r>
      <w:r>
        <w:rPr>
          <w:b/>
        </w:rPr>
        <w:t xml:space="preserve">A or B</w:t>
      </w:r>
      <w:r>
        <w:rPr/>
        <w:t xml:space="preserve"> — both fund the $75k target and use the downsizer. Let the </w:t>
      </w:r>
      <w:r>
        <w:rPr>
          <w:b/>
        </w:rPr>
        <w:t xml:space="preserve">lifestyle preference</w:t>
      </w:r>
      <w:r>
        <w:rPr/>
        <w:t xml:space="preserve"> (stay local vs simplify) drive the choice, knowing B frees more capital. Don't list until the </w:t>
      </w:r>
      <w:r>
        <w:rPr>
          <w:b/>
        </w:rPr>
        <w:t xml:space="preserve">CGT apportionment</w:t>
      </w:r>
      <w:r>
        <w:rPr/>
        <w:t xml:space="preserve"> (Section 11) and </w:t>
      </w:r>
      <w:r>
        <w:rPr>
          <w:b/>
        </w:rPr>
        <w:t xml:space="preserve">replacement target</w:t>
      </w:r>
      <w:r>
        <w:rPr/>
        <w:t xml:space="preserve"> are confirmed, and don't sell into temporary accommodation without a plan.</w:t>
      </w:r>
    </w:p>
    <w:p>
      <w:pPr>
        <w:pStyle w:val="Heading2"/>
        <w:spacing w:lineRule="auto"/>
      </w:pPr>
      <w:r>
        <w:rPr>
          <w:color w:val="4C9A2A"/>
          <w:rFonts w:ascii="Helvetica" w:hAnsi="Helvetica"/>
          <w:sz w:val="26"/>
        </w:rPr>
        <w:t xml:space="preserve">19. Strategy 14 — Staged retirement cash-flow plan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Combined income sources</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 → home 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days/week ~$117k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 salary + Joanne ~$23k + modest ABP drawdown + $100k cash buffer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Post-sale, fully retired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Tax-free ABP</w:t>
            </w:r>
          </w:p>
          <w:p>
            <w:pPr>
              <w:spacing w:lineRule="auto"/>
            </w:pPr>
            <w:r>
              <w:rPr/>
              <w:t xml:space="preserve"> from combined super (+ downsizer) + Joanne part-time (if continuing)</w:t>
            </w:r>
          </w:p>
        </w:tc>
      </w:tr>
    </w:tbl>
    <w:p>
      <w:pPr>
        <w:spacing w:lineRule="auto"/>
      </w:pPr>
      <w:r>
        <w:rPr/>
      </w:r>
    </w:p>
    <w:p>
      <w:pPr>
        <w:pStyle w:val="Heading3"/>
        <w:spacing w:lineRule="auto"/>
      </w:pPr>
      <w:r>
        <w:rPr>
          <w:color w:val="333333"/>
          <w:rFonts w:ascii="Helvetica" w:hAnsi="Helvetica"/>
          <w:sz w:val="21"/>
        </w:rPr>
        <w:t xml:space="preserve">Adequacy — preliminary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Combined super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Sustainable income @5% (tax-free)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Meets $75k?</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 super only, no downsizer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(leans on cash + part-time income)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$600k downsizer (Scenario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~$62,500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p>
            <w:pPr>
              <w:spacing w:lineRule="auto"/>
            </w:pPr>
            <w:r>
              <w:rPr/>
              <w:t xml:space="preserve">, with Joanne's income / cash buffer closing the gap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partial downsizer (~$350–400k, Scenario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~$50,000–$52,500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 — supplement from freed equity / part-time income</w:t>
            </w:r>
          </w:p>
        </w:tc>
      </w:tr>
    </w:tbl>
    <w:p>
      <w:pPr>
        <w:spacing w:lineRule="auto"/>
      </w:pPr>
      <w:r>
        <w:rPr/>
      </w:r>
    </w:p>
    <w:p>
      <w:pPr>
        <w:spacing w:lineRule="auto"/>
      </w:pPr>
      <w:r>
        <w:rPr>
          <w:b/>
        </w:rPr>
        <w:t xml:space="preserve">Direct answer:</w:t>
      </w:r>
      <w:r>
        <w:rPr/>
        <w:t xml:space="preserve"> the </w:t>
      </w:r>
      <w:r>
        <w:rPr>
          <w:b/>
        </w:rPr>
        <w:t xml:space="preserve">$75,000 target is achievable</w:t>
      </w:r>
      <w:r>
        <w:rPr/>
        <w:t xml:space="preserve">, with the </w:t>
      </w:r>
      <w:r>
        <w:rPr>
          <w:b/>
        </w:rPr>
        <w:t xml:space="preserve">home downsize + downsizer</w:t>
      </w:r>
      <w:r>
        <w:rPr/>
        <w:t xml:space="preserve"> the load-bearing decision. Without a downsize, the household leans on personal cash and Joanne's income — workable short-term but not robust for a 25–30 year retirement. A full </w:t>
      </w:r>
      <w:r>
        <w:rPr>
          <w:b/>
        </w:rPr>
        <w:t xml:space="preserve">year-by-year Phase 1/Phase 2 model</w:t>
      </w:r>
      <w:r>
        <w:rPr/>
        <w:t xml:space="preserve"> should confirm this before the SOA.</w:t>
      </w:r>
    </w:p>
    <w:p>
      <w:pPr>
        <w:ind w:left="284"/>
        <w:jc w:val="both"/>
        <w:spacing w:lineRule="auto"/>
      </w:pPr>
      <w:r>
        <w:rPr>
          <w:b/>
        </w:rPr>
        <w:t xml:space="preserve">Age Pension / CSHC —</w:t>
      </w:r>
      <w:r>
        <w:rPr/>
        <w:t xml:space="preserve"> On the current asset base (~$1.95M), the household is </w:t>
      </w:r>
      <w:r>
        <w:rPr>
          <w:b/>
        </w:rPr>
        <w:t xml:space="preserve">likely over the Age Pension assets-test cut-off</w:t>
      </w:r>
      <w:r>
        <w:rPr/>
        <w:t xml:space="preserve">. After downsizing, the new home stays an exempt asset, but freed equity and pension-phase super are assessable. The </w:t>
      </w:r>
      <w:r>
        <w:rPr>
          <w:b/>
        </w:rPr>
        <w:t xml:space="preserve">Commonwealth Seniors Health Card</w:t>
      </w:r>
      <w:r>
        <w:rPr/>
        <w:t xml:space="preserve"> (income-tested only, generous thresholds) may well be available and is worth checking — it provides cheaper medicines and concessions, relevant given Michael's health. </w:t>
      </w:r>
      <w:r>
        <w:rPr>
          <w:b/>
        </w:rPr>
        <w:t xml:space="preserve">[TO CONFIRM eligibility.]</w:t>
      </w:r>
    </w:p>
    <w:p>
      <w:pPr>
        <w:pStyle w:val="Heading2"/>
        <w:spacing w:lineRule="auto"/>
      </w:pPr>
      <w:r>
        <w:rPr>
          <w:color w:val="4C9A2A"/>
          <w:rFonts w:ascii="Helvetica" w:hAnsi="Helvetica"/>
          <w:sz w:val="26"/>
        </w:rPr>
        <w:t xml:space="preserve">20. Strategy 13 — Children: property assistance &amp; insurance</w:t>
      </w:r>
    </w:p>
    <w:p>
      <w:pPr>
        <w:spacing w:lineRule="auto"/>
      </w:pPr>
      <w:r>
        <w:rPr>
          <w:b/>
        </w:rPr>
        <w:t xml:space="preserve">Property assistance.</w:t>
      </w:r>
      <w:r>
        <w:rPr/>
        <w:t xml:space="preserve"> Brittany is moving into a new home (July 2026) and Luke holds investment-property debt. If the Williams wish to assist either child from freed downsizer proceeds:</w:t>
      </w:r>
    </w:p>
    <w:p>
      <w:pPr>
        <w:numPr>
          <w:ilvl w:val="0"/>
          <w:numId w:val="16"/>
        </w:numPr>
        <w:spacing w:lineRule="auto"/>
      </w:pPr>
      <w:r>
        <w:rPr>
          <w:b/>
        </w:rPr>
        <w:t xml:space="preserve">Document any assistance as a loan</w:t>
      </w:r>
      <w:r>
        <w:rPr/>
        <w:t xml:space="preserve"> (secured where possible) rather than an outright gift — preserves the capital against relationship breakdown and keeps it inside the estate plan.</w:t>
      </w:r>
    </w:p>
    <w:p>
      <w:pPr>
        <w:numPr>
          <w:ilvl w:val="0"/>
          <w:numId w:val="16"/>
        </w:numPr>
        <w:spacing w:lineRule="auto"/>
      </w:pPr>
      <w:r>
        <w:rPr>
          <w:b/>
        </w:rPr>
        <w:t xml:space="preserve">Centrelink gifting</w:t>
      </w:r>
      <w:r>
        <w:rPr/>
        <w:t xml:space="preserve"> is largely moot now (likely no Age Pension entitlement), but becomes relevant if a part-pension or CSHC position is later targeted.</w:t>
      </w:r>
    </w:p>
    <w:p>
      <w:pPr>
        <w:numPr>
          <w:ilvl w:val="0"/>
          <w:numId w:val="16"/>
        </w:numPr>
        <w:spacing w:lineRule="auto"/>
      </w:pPr>
      <w:r>
        <w:rPr/>
        <w:t xml:space="preserve">Check whether either child qualifies for first-home-buyer concessions / the Home Guarantee Scheme </w:t>
      </w:r>
      <w:r>
        <w:rPr>
          <w:b/>
        </w:rPr>
        <w:t xml:space="preserve">before</w:t>
      </w:r>
      <w:r>
        <w:rPr/>
        <w:t xml:space="preserve"> structuring any deposit assistance.</w:t>
      </w:r>
    </w:p>
    <w:p>
      <w:pPr>
        <w:spacing w:lineRule="auto"/>
      </w:pPr>
      <w:r>
        <w:rPr>
          <w:b/>
        </w:rPr>
        <w:t xml:space="preserve">Insurance (a separate, time-sensitive conversation).</w:t>
      </w:r>
      <w:r>
        <w:rPr/>
        <w:t xml:space="preserve"> Both Luke (32) and Brittany (29) are in the </w:t>
      </w:r>
      <w:r>
        <w:rPr>
          <w:b/>
        </w:rPr>
        <w:t xml:space="preserve">27–35 level-premium window</w:t>
      </w:r>
      <w:r>
        <w:rPr/>
        <w:t xml:space="preserve">, where locking in level-premium life cover can save substantially over a 30–40 year term. Luke's </w:t>
      </w:r>
      <w:r>
        <w:rPr>
          <w:b/>
        </w:rPr>
        <w:t xml:space="preserve">investment-property debt</w:t>
      </w:r>
      <w:r>
        <w:rPr/>
        <w:t xml:space="preserve"> makes </w:t>
      </w:r>
      <w:r>
        <w:rPr>
          <w:b/>
        </w:rPr>
        <w:t xml:space="preserve">income protection</w:t>
      </w:r>
      <w:r>
        <w:rPr/>
        <w:t xml:space="preserve"> particularly important so the "Bank of Mum and Dad" isn't relied on during a long illness/injury. This is </w:t>
      </w:r>
      <w:r>
        <w:rPr>
          <w:b/>
        </w:rPr>
        <w:t xml:space="preserve">out of scope</w:t>
      </w:r>
      <w:r>
        <w:rPr/>
        <w:t xml:space="preserve"> of this paper but flagged for a dedicated meeting; obtain the children's salaries to prepare indicative figures.</w:t>
      </w:r>
    </w:p>
    <w:p>
      <w:pPr>
        <w:pStyle w:val="Heading2"/>
        <w:spacing w:lineRule="auto"/>
      </w:pPr>
      <w:r>
        <w:rPr>
          <w:color w:val="4C9A2A"/>
          <w:rFonts w:ascii="Helvetica" w:hAnsi="Helvetica"/>
          <w:sz w:val="26"/>
        </w:rPr>
        <w:t xml:space="preserve">21. Client questions — scenario modelling (from the email chain)</w:t>
      </w:r>
    </w:p>
    <w:p>
      <w:pPr>
        <w:spacing w:lineRule="auto"/>
      </w:pPr>
      <w:r>
        <w:rPr>
          <w:b/>
        </w:rPr>
        <w:t xml:space="preserve">Q1 — "Our JEMJWILLIAMS SMSF will cease to exist / Lakeside turns our super into a family trust."</w:t>
      </w:r>
      <w:r>
        <w:rPr/>
        <w:t xml:space="preserve"> Clarified in Section 13: </w:t>
      </w:r>
      <w:r>
        <w:rPr>
          <w:b/>
        </w:rPr>
        <w:t xml:space="preserve">super stays in super.</w:t>
      </w:r>
      <w:r>
        <w:rPr/>
        <w:t xml:space="preserve"> The decision is to </w:t>
      </w:r>
      <w:r>
        <w:rPr>
          <w:b/>
        </w:rPr>
        <w:t xml:space="preserve">retain or wind up the SMSF</w:t>
      </w:r>
      <w:r>
        <w:rPr/>
        <w:t xml:space="preserve">, made on cost/control/administration grounds. The </w:t>
      </w:r>
      <w:r>
        <w:rPr>
          <w:b/>
        </w:rPr>
        <w:t xml:space="preserve">testamentary trust</w:t>
      </w:r>
      <w:r>
        <w:rPr/>
        <w:t xml:space="preserve"> is a separate </w:t>
      </w:r>
      <w:r>
        <w:rPr>
          <w:b/>
        </w:rPr>
        <w:t xml:space="preserve">estate</w:t>
      </w:r>
      <w:r>
        <w:rPr/>
        <w:t xml:space="preserve"> structure operating only on death. We will present the SMSF retain-vs-wind-up choice with fees shown both ways.</w:t>
      </w:r>
    </w:p>
    <w:p>
      <w:pPr>
        <w:spacing w:lineRule="auto"/>
      </w:pPr>
      <w:r>
        <w:rPr>
          <w:b/>
        </w:rPr>
        <w:t xml:space="preserve">Q2 — "Has the federal budget caused difficulties with the Financial Plan or Testamentary Will? I was concerned that Trusts would be taxed."</w:t>
      </w:r>
      <w:r>
        <w:rPr/>
        <w:t xml:space="preserve"> Addressed in Section 9: the trust-tax commentary targets </w:t>
      </w:r>
      <w:r>
        <w:rPr>
          <w:b/>
        </w:rPr>
        <w:t xml:space="preserve">inter-vivos discretionary trusts</w:t>
      </w:r>
      <w:r>
        <w:rPr/>
        <w:t xml:space="preserve">, not the </w:t>
      </w:r>
      <w:r>
        <w:rPr>
          <w:b/>
        </w:rPr>
        <w:t xml:space="preserve">excepted trust income</w:t>
      </w:r>
      <w:r>
        <w:rPr/>
        <w:t xml:space="preserve"> that lets a </w:t>
      </w:r>
      <w:r>
        <w:rPr/>
        <w:t xml:space="preserve">testamentary</w:t>
      </w:r>
      <w:r>
        <w:rPr/>
        <w:t xml:space="preserve"> trust distribute to minor grandchildren at adult rates. The estate strategy </w:t>
      </w:r>
      <w:r>
        <w:rPr>
          <w:b/>
        </w:rPr>
        <w:t xml:space="preserve">stands</w:t>
      </w:r>
      <w:r>
        <w:rPr/>
        <w:t xml:space="preserve"> under current law — to be confirmed in writing by Doug Patrick at drafting. Separately, </w:t>
      </w:r>
      <w:r>
        <w:rPr>
          <w:b/>
        </w:rPr>
        <w:t xml:space="preserve">Division 296</w:t>
      </w:r>
      <w:r>
        <w:rPr/>
        <w:t xml:space="preserve"> (the proposed &gt;$3M super tax) does </w:t>
      </w:r>
      <w:r>
        <w:rPr>
          <w:b/>
        </w:rPr>
        <w:t xml:space="preserve">not</w:t>
      </w:r>
      <w:r>
        <w:rPr/>
        <w:t xml:space="preserve"> affect this household.</w:t>
      </w:r>
    </w:p>
    <w:p>
      <w:pPr>
        <w:spacing w:lineRule="auto"/>
      </w:pPr>
      <w:r>
        <w:rPr>
          <w:b/>
        </w:rPr>
        <w:t xml:space="preserve">Q3 — "Is ~$75,000 retirement income achievable?"</w:t>
      </w:r>
      <w:r>
        <w:rPr>
          <w:b/>
        </w:rPr>
        <w:t xml:space="preserve">Yes</w:t>
      </w:r>
      <w:r>
        <w:rPr/>
        <w:t xml:space="preserve"> — see Section 19. The downsizer contribution is the load-bearing decision; combined super ~$650k → ~$1.25M → ~$62.5k tax-free at 5%, topped up by Joanne's income and the cash buffer.</w:t>
      </w:r>
    </w:p>
    <w:p>
      <w:pPr>
        <w:spacing w:lineRule="auto"/>
      </w:pPr>
      <w:r>
        <w:rPr>
          <w:b/>
        </w:rPr>
        <w:t xml:space="preserve">Q4 — "We plan to downsize in 1–2 years — what are the implications?"</w:t>
      </w:r>
      <w:r>
        <w:rPr/>
        <w:t xml:space="preserve"> Triggers the </w:t>
      </w:r>
      <w:r>
        <w:rPr>
          <w:b/>
        </w:rPr>
        <w:t xml:space="preserve">downsizer contribution</w:t>
      </w:r>
      <w:r>
        <w:rPr/>
        <w:t xml:space="preserve"> (Section 11) and possibly a </w:t>
      </w:r>
      <w:r>
        <w:rPr>
          <w:b/>
        </w:rPr>
        <w:t xml:space="preserve">partial CGT event</w:t>
      </w:r>
      <w:r>
        <w:rPr/>
        <w:t xml:space="preserve"> on the &gt;2ha land (Section 11). Sequence: confirm cost base/land split → sell → buy replacement → downsizer within 90 days → commence second pension.</w:t>
      </w:r>
    </w:p>
    <w:p>
      <w:pPr>
        <w:spacing w:lineRule="auto"/>
      </w:pPr>
      <w:r>
        <w:rPr>
          <w:b/>
        </w:rPr>
        <w:t xml:space="preserve">Q5 — "Carry-forward concessional contributions for Joanne?"</w:t>
      </w:r>
      <w:r>
        <w:rPr/>
        <w:t xml:space="preserve"> Technically available (TSB &lt; $500k) but </w:t>
      </w:r>
      <w:r>
        <w:rPr>
          <w:b/>
        </w:rPr>
        <w:t xml:space="preserve">low value</w:t>
      </w:r>
      <w:r>
        <w:rPr/>
        <w:t xml:space="preserve"> at her 16% rate. Better to deploy her contribution capacity as the </w:t>
      </w:r>
      <w:r>
        <w:rPr>
          <w:b/>
        </w:rPr>
        <w:t xml:space="preserve">$1,000 NCC for the co-contribution</w:t>
      </w:r>
      <w:r>
        <w:rPr/>
        <w:t xml:space="preserve"> (Section 17). </w:t>
      </w:r>
      <w:r>
        <w:rPr>
          <w:b/>
        </w:rPr>
        <w:t xml:space="preserve">[TO CONFIRM]</w:t>
      </w:r>
      <w:r>
        <w:rPr/>
        <w:t xml:space="preserve"> her prior-year history.</w:t>
      </w:r>
    </w:p>
    <w:p>
      <w:pPr>
        <w:spacing w:lineRule="auto"/>
      </w:pPr>
      <w:r>
        <w:rPr>
          <w:b/>
        </w:rPr>
        <w:t xml:space="preserve">Q6 — "Existing insurance — keep the TPD?"</w:t>
      </w:r>
      <w:r>
        <w:rPr>
          <w:b/>
        </w:rPr>
        <w:t xml:space="preserve">Cancel the $300k TPD</w:t>
      </w:r>
      <w:r>
        <w:rPr/>
        <w:t xml:space="preserve"> (ADL definition, premium drain, minimal benefit at this stage); </w:t>
      </w:r>
      <w:r>
        <w:rPr>
          <w:b/>
        </w:rPr>
        <w:t xml:space="preserve">retain the $600k Life</w:t>
      </w:r>
      <w:r>
        <w:rPr/>
        <w:t xml:space="preserve"> (irreplaceable given diagnosis). Section 15.</w:t>
      </w:r>
    </w:p>
    <w:p>
      <w:pPr>
        <w:spacing w:lineRule="auto"/>
      </w:pPr>
      <w:r>
        <w:rPr>
          <w:b/>
        </w:rPr>
        <w:t xml:space="preserve">Q7 — "Centrelink / Age Pension?"</w:t>
      </w:r>
      <w:r>
        <w:rPr/>
        <w:t xml:space="preserve"> Likely </w:t>
      </w:r>
      <w:r>
        <w:rPr>
          <w:b/>
        </w:rPr>
        <w:t xml:space="preserve">over the assets test</w:t>
      </w:r>
      <w:r>
        <w:rPr/>
        <w:t xml:space="preserve"> → no Age Pension. But check the </w:t>
      </w:r>
      <w:r>
        <w:rPr>
          <w:b/>
        </w:rPr>
        <w:t xml:space="preserve">Commonwealth Seniors Health Card</w:t>
      </w:r>
      <w:r>
        <w:rPr/>
        <w:t xml:space="preserve"> (income-tested only) — valuable given health. Section 19.</w:t>
      </w:r>
    </w:p>
    <w:p>
      <w:pPr>
        <w:spacing w:lineRule="auto"/>
      </w:pPr>
      <w:r>
        <w:rPr>
          <w:b/>
        </w:rPr>
        <w:t xml:space="preserve">Q8 — "Re-contribution strategy?"</w:t>
      </w:r>
      <w:r>
        <w:rPr/>
        <w:t xml:space="preserve"> Recommended (Section 12) — converts taxable to tax-free component, saving the children ~$60k+ of death-benefits tax. Best paired with the downsizer year.</w:t>
      </w:r>
    </w:p>
    <w:p>
      <w:pPr>
        <w:spacing w:lineRule="auto"/>
      </w:pPr>
      <w:r>
        <w:rPr>
          <w:b/>
        </w:rPr>
        <w:t xml:space="preserve">Q9 — "Children's insurance?"</w:t>
      </w:r>
      <w:r>
        <w:rPr/>
        <w:t xml:space="preserve"> Worth progressing for both Luke and Brittany while in the level-premium window (Section 20) — separate meeting; need their salaries.</w:t>
      </w:r>
    </w:p>
    <w:p>
      <w:pPr>
        <w:spacing w:lineRule="auto"/>
      </w:pPr>
      <w:r>
        <w:rPr>
          <w:b/>
        </w:rPr>
        <w:t xml:space="preserve">Q10 — "8–9% private lending opportunity?"</w:t>
      </w:r>
      <w:r>
        <w:rPr>
          <w:b/>
        </w:rPr>
        <w:t xml:space="preserve">Caution / defer</w:t>
      </w:r>
      <w:r>
        <w:rPr/>
        <w:t xml:space="preserve"> (Section 22). Illiquid, capital-at-risk; not a core retirement holding for this household.</w:t>
      </w:r>
    </w:p>
    <w:p>
      <w:pPr>
        <w:pStyle w:val="Heading2"/>
        <w:spacing w:lineRule="auto"/>
      </w:pPr>
      <w:r>
        <w:rPr>
          <w:color w:val="4C9A2A"/>
          <w:rFonts w:ascii="Helvetica" w:hAnsi="Helvetica"/>
          <w:sz w:val="26"/>
        </w:rPr>
        <w:t xml:space="preserve">22. Alternatives considered and dismissed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Alternative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considered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dismissed / deferred</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Retain the $300k TPD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cover is safer"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ADL definition, low claim value, drains the SMSF; household is debt-free and near retirement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8–9% private lending as a core holding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Attractive yield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Illiquid, capital-at-risk; wrong fit for capital-preservation + health situation. At most a small satellite after risk profiling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 up the SMSF purely to re-weight the 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"Simpler to let Lakeside manage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Re-weighting can be done </w:t>
            </w:r>
          </w:p>
          <w:p>
            <w:pPr>
              <w:spacing w:lineRule="auto"/>
            </w:pPr>
            <w:r>
              <w:rPr>
                <w:b/>
              </w:rPr>
              <w:t xml:space="preserve">inside</w:t>
            </w:r>
          </w:p>
          <w:p>
            <w:pPr>
              <w:spacing w:lineRule="auto"/>
            </w:pPr>
            <w:r>
              <w:rPr/>
              <w:t xml:space="preserve"> the SMSF; wind-up must be justified on admin/cost, not used as a backdoor (conflict-sensitive)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Defer estate/POA documents until after the home 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to juggle now</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Unacceptable given Michael's health</w:t>
            </w:r>
          </w:p>
          <w:p>
            <w:pPr>
              <w:spacing w:lineRule="auto"/>
            </w:pPr>
            <w:r>
              <w:rPr/>
              <w:t xml:space="preserve"> — incapacity/death risk is present 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Aggressive all-growth 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long-run 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Sequence-of-returns and capital-preservation needs at this life stage favour a bucket approach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concessional contributions for Joanne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She's under the carry-forward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net benefit at her rate — better used for the co-contribution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Gift (not loan) to children from proceeds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Simplicity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preserves capital against relationship breakdown and keeps it in the estate plan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nothing / status quo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disruption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Leaves super in 15%-taxed accumulation, cash-heavy, estate exposed, TPD draining the fund — material value left on the table</w:t>
            </w:r>
          </w:p>
        </w:tc>
      </w:tr>
    </w:tbl>
    <w:p>
      <w:pPr>
        <w:spacing w:lineRule="auto"/>
      </w:pPr>
      <w:r>
        <w:rPr/>
      </w:r>
    </w:p>
    <w:p>
      <w:pPr>
        <w:pStyle w:val="Heading2"/>
        <w:spacing w:lineRule="auto"/>
      </w:pPr>
      <w:r>
        <w:rPr>
          <w:color w:val="4C9A2A"/>
          <w:rFonts w:ascii="Helvetica" w:hAnsi="Helvetica"/>
          <w:sz w:val="26"/>
        </w:rPr>
        <w:t xml:space="preserve">23. Implementation roadmap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Enduring POAs (financial) + medical decision-makers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 / Doug Patrick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Immediately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Binding death benefit nominations on the SMSF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Ben Cooper / members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Immediately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Finalise </w:t>
            </w:r>
          </w:p>
          <w:p>
            <w:pPr>
              <w:spacing w:lineRule="auto"/>
            </w:pPr>
            <w:r>
              <w:rPr>
                <w:b/>
              </w:rPr>
              <w:t xml:space="preserve">Testamentary Trust Wills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Doug Patrick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Commence account-based pensions</w:t>
            </w:r>
          </w:p>
          <w:p>
            <w:pPr>
              <w:spacing w:lineRule="auto"/>
            </w:pPr>
            <w:r>
              <w:rPr/>
              <w:t xml:space="preserve"> (both members)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Ben Cooper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1–2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Cancel TPD; confirm Life unaffected</w:t>
            </w:r>
          </w:p>
          <w:p>
            <w:pPr>
              <w:spacing w:lineRule="auto"/>
            </w:pPr>
            <w:r>
              <w:rPr/>
              <w:t xml:space="preserve">, document advice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Zurich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1–2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Obtain </w:t>
            </w:r>
          </w:p>
          <w:p>
            <w:pPr>
              <w:spacing w:lineRule="auto"/>
            </w:pPr>
            <w:r>
              <w:rPr>
                <w:b/>
              </w:rPr>
              <w:t xml:space="preserve">home purchase date, cost base, land apportionment</w:t>
            </w:r>
          </w:p>
          <w:p>
            <w:pPr>
              <w:spacing w:lineRule="auto"/>
            </w:pPr>
            <w:r>
              <w:rPr/>
              <w:t xml:space="preserve">; model CGT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 / Ben Cooper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w:t>
            </w:r>
          </w:p>
          <w:p>
            <w:pPr>
              <w:spacing w:lineRule="auto"/>
            </w:pPr>
            <w:r>
              <w:rPr>
                <w:b/>
              </w:rPr>
              <w:t xml:space="preserve">SMSF tax-free/taxable component split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 Cooper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1–2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SMSF structure decision</w:t>
            </w:r>
          </w:p>
          <w:p>
            <w:pPr>
              <w:spacing w:lineRule="auto"/>
            </w:pPr>
            <w:r>
              <w:rPr/>
              <w:t xml:space="preserve"> (retain vs wind up), fees both ways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members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any restructure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De-risk SMSF allocation</w:t>
            </w:r>
          </w:p>
          <w:p>
            <w:pPr>
              <w:spacing w:lineRule="auto"/>
            </w:pPr>
            <w:r>
              <w:rPr/>
              <w:t xml:space="preserve"> (bucket; trim CBA) — execute in pension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pension commences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 </w:t>
            </w:r>
          </w:p>
          <w:p>
            <w:pPr>
              <w:spacing w:lineRule="auto"/>
            </w:pPr>
            <w:r>
              <w:rPr>
                <w:b/>
              </w:rPr>
              <w:t xml:space="preserve">Joanne's low-income incentives</w:t>
            </w:r>
          </w:p>
          <w:p>
            <w:pPr>
              <w:spacing w:lineRule="auto"/>
            </w:pPr>
            <w:r>
              <w:rPr/>
              <w:t xml:space="preserve"> ($540 / $500 / LISTO)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30 June each 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Michael concessional contributions</w:t>
            </w:r>
          </w:p>
          <w:p>
            <w:pPr>
              <w:spacing w:lineRule="auto"/>
            </w:pPr>
            <w:r>
              <w:rPr/>
              <w:t xml:space="preserve"> (confirm SG YTD first)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 / AusNet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30 June each 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Downsizer contributions</w:t>
            </w:r>
          </w:p>
          <w:p>
            <w:pPr>
              <w:spacing w:lineRule="auto"/>
            </w:pPr>
            <w:r>
              <w:rPr/>
              <w:t xml:space="preserve"> within 90 days of settlement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 / Tristan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 home 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 (event-driven)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Re-contribution cycle</w:t>
            </w:r>
          </w:p>
          <w:p>
            <w:pPr>
              <w:spacing w:lineRule="auto"/>
            </w:pPr>
            <w:r>
              <w:rPr/>
              <w:t xml:space="preserve"> to lift tax-free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members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Post-retirement / downsizer 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w:t>
            </w:r>
          </w:p>
          <w:p>
            <w:pPr>
              <w:spacing w:lineRule="auto"/>
            </w:pPr>
            <w:r>
              <w:rPr>
                <w:b/>
              </w:rPr>
              <w:t xml:space="preserve">AusNet leave / termination entitlements</w:t>
            </w:r>
          </w:p>
          <w:p>
            <w:pPr>
              <w:spacing w:lineRule="auto"/>
            </w:pPr>
            <w:r>
              <w:rPr/>
              <w:t xml:space="preserve">; model 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Michael / Ben Cooper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step-down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Children's insurance</w:t>
            </w:r>
          </w:p>
          <w:p>
            <w:pPr>
              <w:spacing w:lineRule="auto"/>
            </w:pPr>
            <w:r>
              <w:rPr/>
              <w:t xml:space="preserve"> conversation (Luke IP/life; Brittany)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kids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meeting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Follow-up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b/>
              </w:rPr>
              <w:t xml:space="preserve">Commonwealth Seniors Health Card</w:t>
            </w:r>
          </w:p>
          <w:p>
            <w:pPr>
              <w:spacing w:lineRule="auto"/>
            </w:pPr>
            <w:r>
              <w:rPr/>
              <w:t xml:space="preserve"> eligibility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Post-retirement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 full Phase 1/Phase 2 cash-flow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SOA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Peer-review / verification pass</w:t>
            </w:r>
          </w:p>
          <w:p>
            <w:pPr>
              <w:spacing w:lineRule="auto"/>
            </w:pPr>
            <w:r>
              <w:rPr/>
              <w:t xml:space="preserve"> with accountant + solicitor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Tristan / Ben Cooper / Doug Patrick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SOA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bl>
    <w:p>
      <w:pPr>
        <w:spacing w:lineRule="auto"/>
      </w:pPr>
      <w:r>
        <w:rPr/>
      </w:r>
    </w:p>
    <w:p>
      <w:pPr>
        <w:pStyle w:val="Heading2"/>
        <w:spacing w:lineRule="auto"/>
      </w:pPr>
      <w:r>
        <w:rPr>
          <w:color w:val="4C9A2A"/>
          <w:rFonts w:ascii="Helvetica" w:hAnsi="Helvetica"/>
          <w:sz w:val="26"/>
        </w:rPr>
        <w:t xml:space="preserve">24. Information gaps / next data requests</w:t>
      </w:r>
    </w:p>
    <w:p>
      <w:pPr>
        <w:numPr>
          <w:ilvl w:val="0"/>
          <w:numId w:val="17"/>
        </w:numPr>
        <w:spacing w:lineRule="auto"/>
      </w:pPr>
      <w:r>
        <w:rPr/>
        <w:t xml:space="preserve">Michael's </w:t>
      </w:r>
      <w:r>
        <w:rPr>
          <w:b/>
        </w:rPr>
        <w:t xml:space="preserve">current payslip</w:t>
      </w:r>
      <w:r>
        <w:rPr/>
        <w:t xml:space="preserve"> confirming the reduced 3-day income and any salary packaging.</w:t>
      </w:r>
    </w:p>
    <w:p>
      <w:pPr>
        <w:numPr>
          <w:ilvl w:val="0"/>
          <w:numId w:val="17"/>
        </w:numPr>
        <w:spacing w:lineRule="auto"/>
      </w:pPr>
      <w:r>
        <w:rPr/>
        <w:t xml:space="preserve">Michael's </w:t>
      </w:r>
      <w:r>
        <w:rPr>
          <w:b/>
        </w:rPr>
        <w:t xml:space="preserve">AusNet leave/termination entitlements</w:t>
      </w:r>
      <w:r>
        <w:rPr/>
        <w:t xml:space="preserve"> (long service, unused leave).</w:t>
      </w:r>
    </w:p>
    <w:p>
      <w:pPr>
        <w:numPr>
          <w:ilvl w:val="0"/>
          <w:numId w:val="17"/>
        </w:numPr>
        <w:spacing w:lineRule="auto"/>
      </w:pPr>
      <w:r>
        <w:rPr>
          <w:b/>
        </w:rPr>
        <w:t xml:space="preserve">SMSF member component split</w:t>
      </w:r>
      <w:r>
        <w:rPr/>
        <w:t xml:space="preserve"> (tax-free vs taxable) for both members.</w:t>
      </w:r>
    </w:p>
    <w:p>
      <w:pPr>
        <w:numPr>
          <w:ilvl w:val="0"/>
          <w:numId w:val="17"/>
        </w:numPr>
        <w:spacing w:lineRule="auto"/>
      </w:pPr>
      <w:r>
        <w:rPr/>
        <w:t xml:space="preserve">Joanne's </w:t>
      </w:r>
      <w:r>
        <w:rPr>
          <w:b/>
        </w:rPr>
        <w:t xml:space="preserve">prior-year concessional contribution history</w:t>
      </w:r>
      <w:r>
        <w:rPr/>
        <w:t xml:space="preserve">.</w:t>
      </w:r>
    </w:p>
    <w:p>
      <w:pPr>
        <w:numPr>
          <w:ilvl w:val="0"/>
          <w:numId w:val="17"/>
        </w:numPr>
        <w:spacing w:lineRule="auto"/>
      </w:pPr>
      <w:r>
        <w:rPr>
          <w:b/>
        </w:rPr>
        <w:t xml:space="preserve">Home purchase date, original cost, capital improvements, and land area / valuation apportionment</w:t>
      </w:r>
      <w:r>
        <w:rPr/>
        <w:t xml:space="preserve">.</w:t>
      </w:r>
    </w:p>
    <w:p>
      <w:pPr>
        <w:numPr>
          <w:ilvl w:val="0"/>
          <w:numId w:val="17"/>
        </w:numPr>
        <w:spacing w:lineRule="auto"/>
      </w:pPr>
      <w:r>
        <w:rPr/>
        <w:t xml:space="preserve">The </w:t>
      </w:r>
      <w:r>
        <w:rPr>
          <w:b/>
        </w:rPr>
        <w:t xml:space="preserve">Zurich policy schedule</w:t>
      </w:r>
      <w:r>
        <w:rPr/>
        <w:t xml:space="preserve"> — TPD definition, bundling, premium split, renewability.</w:t>
      </w:r>
    </w:p>
    <w:p>
      <w:pPr>
        <w:numPr>
          <w:ilvl w:val="0"/>
          <w:numId w:val="17"/>
        </w:numPr>
        <w:spacing w:lineRule="auto"/>
      </w:pPr>
      <w:r>
        <w:rPr/>
        <w:t xml:space="preserve">Confirmation of any </w:t>
      </w:r>
      <w:r>
        <w:rPr>
          <w:b/>
        </w:rPr>
        <w:t xml:space="preserve">personal cash/term deposits outside super</w:t>
      </w:r>
      <w:r>
        <w:rPr/>
        <w:t xml:space="preserve"> beyond the $100k Macquarie.</w:t>
      </w:r>
    </w:p>
    <w:p>
      <w:pPr>
        <w:numPr>
          <w:ilvl w:val="0"/>
          <w:numId w:val="17"/>
        </w:numPr>
        <w:spacing w:lineRule="auto"/>
      </w:pPr>
      <w:r>
        <w:rPr/>
        <w:t xml:space="preserve">The </w:t>
      </w:r>
      <w:r>
        <w:rPr>
          <w:b/>
        </w:rPr>
        <w:t xml:space="preserve">target replacement-property price point</w:t>
      </w:r>
      <w:r>
        <w:rPr/>
        <w:t xml:space="preserve"> and location intent.</w:t>
      </w:r>
    </w:p>
    <w:p>
      <w:pPr>
        <w:numPr>
          <w:ilvl w:val="0"/>
          <w:numId w:val="17"/>
        </w:numPr>
        <w:spacing w:lineRule="auto"/>
      </w:pPr>
      <w:r>
        <w:rPr/>
        <w:t xml:space="preserve">The </w:t>
      </w:r>
      <w:r>
        <w:rPr>
          <w:b/>
        </w:rPr>
        <w:t xml:space="preserve">SMSF trust deed</w:t>
      </w:r>
      <w:r>
        <w:rPr/>
        <w:t xml:space="preserve"> — binding-nomination capability and pension provisions.</w:t>
      </w:r>
    </w:p>
    <w:p>
      <w:pPr>
        <w:numPr>
          <w:ilvl w:val="0"/>
          <w:numId w:val="17"/>
        </w:numPr>
        <w:spacing w:lineRule="auto"/>
      </w:pPr>
      <w:r>
        <w:rPr/>
        <w:t xml:space="preserve">Clarification of the </w:t>
      </w:r>
      <w:r>
        <w:rPr>
          <w:b/>
        </w:rPr>
        <w:t xml:space="preserve">surgery / "no surgery"</w:t>
      </w:r>
      <w:r>
        <w:rPr/>
        <w:t xml:space="preserve"> discrepancy and current prognosis.</w:t>
      </w:r>
    </w:p>
    <w:p>
      <w:pPr>
        <w:numPr>
          <w:ilvl w:val="0"/>
          <w:numId w:val="17"/>
        </w:numPr>
        <w:spacing w:lineRule="auto"/>
      </w:pPr>
      <w:r>
        <w:rPr>
          <w:b/>
        </w:rPr>
        <w:t xml:space="preserve">Commonwealth Seniors Health Card</w:t>
      </w:r>
      <w:r>
        <w:rPr/>
        <w:t xml:space="preserve"> income-test position.</w:t>
      </w:r>
    </w:p>
    <w:p>
      <w:pPr>
        <w:pStyle w:val="Heading2"/>
        <w:spacing w:lineRule="auto"/>
      </w:pPr>
      <w:r>
        <w:rPr>
          <w:color w:val="4C9A2A"/>
          <w:rFonts w:ascii="Helvetica" w:hAnsi="Helvetica"/>
          <w:sz w:val="26"/>
        </w:rPr>
        <w:t xml:space="preserve">25. Appendix A — legislation &amp; references cited</w:t>
      </w:r>
    </w:p>
    <w:p>
      <w:pPr>
        <w:numPr>
          <w:ilvl w:val="0"/>
          <w:numId w:val="18"/>
        </w:numPr>
        <w:spacing w:lineRule="auto"/>
      </w:pPr>
      <w:r>
        <w:rPr>
          <w:b/>
        </w:rPr>
        <w:t xml:space="preserve">Concessional contributions:</w:t>
      </w:r>
      <w:r>
        <w:rPr/>
        <w:t xml:space="preserve"> ITAA 1997 Div 291 (cap $30,000); s290-170 (notice of intent); s291-20 (carry-forward, TSB &lt; $500k).</w:t>
      </w:r>
    </w:p>
    <w:p>
      <w:pPr>
        <w:numPr>
          <w:ilvl w:val="0"/>
          <w:numId w:val="18"/>
        </w:numPr>
        <w:spacing w:lineRule="auto"/>
      </w:pPr>
      <w:r>
        <w:rPr>
          <w:b/>
        </w:rPr>
        <w:t xml:space="preserve">Non-concessional:</w:t>
      </w:r>
      <w:r>
        <w:rPr/>
        <w:t xml:space="preserve"> ITAA 1997 s292 (cap $120,000 / $360,000 bring-forward).</w:t>
      </w:r>
    </w:p>
    <w:p>
      <w:pPr>
        <w:numPr>
          <w:ilvl w:val="0"/>
          <w:numId w:val="18"/>
        </w:numPr>
        <w:spacing w:lineRule="auto"/>
      </w:pPr>
      <w:r>
        <w:rPr>
          <w:b/>
        </w:rPr>
        <w:t xml:space="preserve">Spouse contribution offset:</w:t>
      </w:r>
      <w:r>
        <w:rPr/>
        <w:t xml:space="preserve"> ITAA 1997 s290-230 (up to $540; recipient income &lt; $37,000).</w:t>
      </w:r>
    </w:p>
    <w:p>
      <w:pPr>
        <w:numPr>
          <w:ilvl w:val="0"/>
          <w:numId w:val="18"/>
        </w:numPr>
        <w:spacing w:lineRule="auto"/>
      </w:pPr>
      <w:r>
        <w:rPr>
          <w:b/>
        </w:rPr>
        <w:t xml:space="preserve">Government co-contribution:</w:t>
      </w:r>
      <w:r>
        <w:rPr/>
        <w:t xml:space="preserve"> Super (Government Co-contribution for Low Income Earners) Act 2003 (up to $500; income &lt; $45,400 full).</w:t>
      </w:r>
    </w:p>
    <w:p>
      <w:pPr>
        <w:numPr>
          <w:ilvl w:val="0"/>
          <w:numId w:val="18"/>
        </w:numPr>
        <w:spacing w:lineRule="auto"/>
      </w:pPr>
      <w:r>
        <w:rPr>
          <w:b/>
        </w:rPr>
        <w:t xml:space="preserve">LISTO:</w:t>
      </w:r>
      <w:r>
        <w:rPr/>
        <w:t xml:space="preserve"> ITAA 1997 Subdiv 312 (up to $500; income &lt; $37,000).</w:t>
      </w:r>
    </w:p>
    <w:p>
      <w:pPr>
        <w:numPr>
          <w:ilvl w:val="0"/>
          <w:numId w:val="18"/>
        </w:numPr>
        <w:spacing w:lineRule="auto"/>
      </w:pPr>
      <w:r>
        <w:rPr>
          <w:b/>
        </w:rPr>
        <w:t xml:space="preserve">Downsizer:</w:t>
      </w:r>
      <w:r>
        <w:rPr/>
        <w:t xml:space="preserve"> ITAA 1997 s292-102 (age 55+; 10-yr ownership; MRE in whole or part; within 90 days; $300,000 cap; outside NCC cap; no TSB test).</w:t>
      </w:r>
    </w:p>
    <w:p>
      <w:pPr>
        <w:numPr>
          <w:ilvl w:val="0"/>
          <w:numId w:val="18"/>
        </w:numPr>
        <w:spacing w:lineRule="auto"/>
      </w:pPr>
      <w:r>
        <w:rPr>
          <w:b/>
        </w:rPr>
        <w:t xml:space="preserve">Transfer Balance Cap &amp; pensions:</w:t>
      </w:r>
      <w:r>
        <w:rPr/>
        <w:t xml:space="preserve"> ITAA 1997 Subdiv 294-B ($2.0M); s295-385 (exempt current pension income); SIS Regs (min drawdown: 65–74 = 5%).</w:t>
      </w:r>
    </w:p>
    <w:p>
      <w:pPr>
        <w:numPr>
          <w:ilvl w:val="0"/>
          <w:numId w:val="18"/>
        </w:numPr>
        <w:spacing w:lineRule="auto"/>
      </w:pPr>
      <w:r>
        <w:rPr>
          <w:b/>
        </w:rPr>
        <w:t xml:space="preserve">Re-contribution / components:</w:t>
      </w:r>
      <w:r>
        <w:rPr/>
        <w:t xml:space="preserve"> ITAA 1997 s307-125 (proportioning); s302-145 (death benefits to non-dependants — taxable component taxed at 15% + Medicare).</w:t>
      </w:r>
    </w:p>
    <w:p>
      <w:pPr>
        <w:numPr>
          <w:ilvl w:val="0"/>
          <w:numId w:val="18"/>
        </w:numPr>
        <w:spacing w:lineRule="auto"/>
      </w:pPr>
      <w:r>
        <w:rPr>
          <w:b/>
        </w:rPr>
        <w:t xml:space="preserve">CGT:</w:t>
      </w:r>
      <w:r>
        <w:rPr/>
        <w:t xml:space="preserve"> ITAA 1997 Div 115 (50% discount); s118-110 (main residence exemption, dwelling + up to 2 hectares).</w:t>
      </w:r>
    </w:p>
    <w:p>
      <w:pPr>
        <w:numPr>
          <w:ilvl w:val="0"/>
          <w:numId w:val="18"/>
        </w:numPr>
        <w:spacing w:lineRule="auto"/>
      </w:pPr>
      <w:r>
        <w:rPr>
          <w:b/>
        </w:rPr>
        <w:t xml:space="preserve">SMSF:</w:t>
      </w:r>
      <w:r>
        <w:rPr/>
        <w:t xml:space="preserve"> Superannuation Industry (Supervision) Act 1993 &amp; Regs.</w:t>
      </w:r>
    </w:p>
    <w:p>
      <w:pPr>
        <w:numPr>
          <w:ilvl w:val="0"/>
          <w:numId w:val="18"/>
        </w:numPr>
        <w:spacing w:lineRule="auto"/>
      </w:pPr>
      <w:r>
        <w:rPr>
          <w:b/>
        </w:rPr>
        <w:t xml:space="preserve">Pending:</w:t>
      </w:r>
      <w:r>
        <w:rPr/>
        <w:t xml:space="preserve"> Division 296 (proposed extra 15% on earnings attributable to TSB &gt; $3.0M) — </w:t>
      </w:r>
      <w:r>
        <w:rPr>
          <w:b/>
        </w:rPr>
        <w:t xml:space="preserve">not applicable</w:t>
      </w:r>
      <w:r>
        <w:rPr/>
        <w:t xml:space="preserve"> to this household.</w:t>
      </w:r>
    </w:p>
    <w:p>
      <w:pPr>
        <w:pStyle w:val="Heading2"/>
        <w:spacing w:lineRule="auto"/>
      </w:pPr>
      <w:r>
        <w:rPr>
          <w:color w:val="4C9A2A"/>
          <w:rFonts w:ascii="Helvetica" w:hAnsi="Helvetica"/>
          <w:sz w:val="26"/>
        </w:rPr>
        <w:t xml:space="preserve">26. Appendix B — FY26 marginal tax rates (residents)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Taxable income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(income 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Medicare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Combined</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 – $18,200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$18,201 – $45,000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$45,001 – $135,000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$135,001 – $190,000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$190,001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r>
    </w:tbl>
    <w:p>
      <w:pPr>
        <w:spacing w:lineRule="auto"/>
      </w:pPr>
      <w:r>
        <w:rPr/>
      </w:r>
    </w:p>
    <w:p>
      <w:pPr>
        <w:spacing w:lineRule="auto"/>
      </w:pPr>
      <w:r>
        <w:rPr/>
        <w:t xml:space="preserve">Michael (FY25 $192,689) sat in the 45% bracket; on his reduced </w:t>
      </w:r>
      <w:r>
        <w:rPr/>
        <w:t xml:space="preserve">$117k income he is in the 30% bracket. Joanne (</w:t>
      </w:r>
      <w:r>
        <w:rPr/>
        <w:t xml:space="preserve">$25k) is in the 16% bracket, effective rate lower after LITO.</w:t>
      </w:r>
    </w:p>
    <w:p>
      <w:pPr>
        <w:pStyle w:val="Heading2"/>
        <w:spacing w:lineRule="auto"/>
      </w:pPr>
      <w:r>
        <w:rPr>
          <w:color w:val="4C9A2A"/>
          <w:rFonts w:ascii="Helvetica" w:hAnsi="Helvetica"/>
          <w:sz w:val="26"/>
        </w:rPr>
        <w:t xml:space="preserve">27. Appendix C — superannuation contribution types (FY26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FY26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on 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toward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conditions</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Concessional (pre-tax)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 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in fund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Concessional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Includes SG, salary sacrifice, personal deductible (NOI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Carry-forward concessional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~5 yrs unused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in fund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Concessional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TSB &lt; $500k at 30 June prior FY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Non-concessional (after-tax)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 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NCC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TSB &lt; $2.0M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NCC 3-yr bring-forward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NCC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 &lt; 75; TSB-dependent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Spouse 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to recipient NCC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Recipient NCC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$540 offset; recipient income &lt; $37,000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co-contribution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$500 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NCC up to $1,000; income &lt; $45,400 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Downsizer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$300,000 /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 55+; 10-yr ownership; MRE in whole/part; within 90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$500 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Refund of 15% 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Adjusted taxable income &lt; $37,000</w:t>
            </w:r>
          </w:p>
        </w:tc>
      </w:tr>
    </w:tbl>
    <w:p>
      <w:pPr>
        <w:spacing w:lineRule="auto"/>
      </w:pPr>
      <w:r>
        <w:rPr/>
      </w:r>
    </w:p>
    <w:p>
      <w:pPr>
        <w:ind w:left="284"/>
        <w:jc w:val="both"/>
        <w:spacing w:lineRule="auto"/>
      </w:pPr>
      <w:r>
        <w:rPr>
          <w:b/>
        </w:rPr>
        <w:t xml:space="preserve">Reading the table —</w:t>
      </w:r>
      <w:r>
        <w:rPr/>
        <w:t xml:space="preserve"> downsizer, co-contribution and LISTO sit </w:t>
      </w:r>
      <w:r>
        <w:rPr>
          <w:b/>
        </w:rPr>
        <w:t xml:space="preserve">outside</w:t>
      </w:r>
      <w:r>
        <w:rPr/>
        <w:t xml:space="preserve"> both the concessional and non-concessional caps. This is why downsizer is so powerful here — </w:t>
      </w:r>
      <w:r>
        <w:rPr>
          <w:b/>
        </w:rPr>
        <w:t xml:space="preserve">$600,000 into super without touching either headline cap</w:t>
      </w:r>
      <w:r>
        <w:rPr/>
        <w:t xml:space="preserve">.</w:t>
      </w:r>
    </w:p>
    <w:p>
      <w:pPr>
        <w:pStyle w:val="Heading2"/>
        <w:spacing w:lineRule="auto"/>
      </w:pPr>
      <w:r>
        <w:rPr>
          <w:color w:val="4C9A2A"/>
          <w:rFonts w:ascii="Helvetica" w:hAnsi="Helvetica"/>
          <w:sz w:val="26"/>
        </w:rPr>
        <w:t xml:space="preserve">28. Closing notes for adviser use</w:t>
      </w:r>
    </w:p>
    <w:p>
      <w:pPr>
        <w:spacing w:lineRule="auto"/>
      </w:pPr>
      <w:r>
        <w:rPr/>
        <w:t xml:space="preserve">This household is, in financial-planning terms, </w:t>
      </w:r>
      <w:r>
        <w:rPr>
          <w:b/>
        </w:rPr>
        <w:t xml:space="preserve">well-positioned but exposed</w:t>
      </w:r>
      <w:r>
        <w:rPr/>
        <w:t xml:space="preserve">: debt-free, asset-rich, over 65 with full super access — yet with </w:t>
      </w:r>
      <w:r>
        <w:rPr>
          <w:b/>
        </w:rPr>
        <w:t xml:space="preserve">out-of-date estate documents, no powers of attorney, a cash-heavy fund taxed at 15%, and a TPD policy draining the SMSF</w:t>
      </w:r>
      <w:r>
        <w:rPr/>
        <w:t xml:space="preserve">, all against the backdrop of a serious health event.</w:t>
      </w:r>
    </w:p>
    <w:p>
      <w:pPr>
        <w:spacing w:lineRule="auto"/>
      </w:pPr>
      <w:r>
        <w:rPr>
          <w:b/>
        </w:rPr>
        <w:t xml:space="preserve">Four items warrant immediate attention before the next meeting:</w:t>
      </w:r>
    </w:p>
    <w:p>
      <w:pPr>
        <w:numPr>
          <w:ilvl w:val="0"/>
          <w:numId w:val="19"/>
        </w:numPr>
        <w:spacing w:lineRule="auto"/>
      </w:pPr>
      <w:r>
        <w:rPr>
          <w:b/>
        </w:rPr>
        <w:t xml:space="preserve">Enduring POAs and medical decision-makers</w:t>
      </w:r>
      <w:r>
        <w:rPr/>
        <w:t xml:space="preserve"> — the single most urgent action.</w:t>
      </w:r>
    </w:p>
    <w:p>
      <w:pPr>
        <w:numPr>
          <w:ilvl w:val="0"/>
          <w:numId w:val="19"/>
        </w:numPr>
        <w:spacing w:lineRule="auto"/>
      </w:pPr>
      <w:r>
        <w:rPr>
          <w:b/>
        </w:rPr>
        <w:t xml:space="preserve">Binding death benefit nominations</w:t>
      </w:r>
      <w:r>
        <w:rPr/>
        <w:t xml:space="preserve"> on the SMSF (spouse → estate/testamentary trust).</w:t>
      </w:r>
    </w:p>
    <w:p>
      <w:pPr>
        <w:numPr>
          <w:ilvl w:val="0"/>
          <w:numId w:val="19"/>
        </w:numPr>
        <w:spacing w:lineRule="auto"/>
      </w:pPr>
      <w:r>
        <w:rPr>
          <w:b/>
        </w:rPr>
        <w:t xml:space="preserve">Commence account-based pensions</w:t>
      </w:r>
      <w:r>
        <w:rPr/>
        <w:t xml:space="preserve"> — turns off 15% fund tax immediately.</w:t>
      </w:r>
    </w:p>
    <w:p>
      <w:pPr>
        <w:numPr>
          <w:ilvl w:val="0"/>
          <w:numId w:val="19"/>
        </w:numPr>
        <w:spacing w:lineRule="auto"/>
      </w:pPr>
      <w:r>
        <w:rPr>
          <w:b/>
        </w:rPr>
        <w:t xml:space="preserve">The TPD cancellation decision</w:t>
      </w:r>
      <w:r>
        <w:rPr/>
        <w:t xml:space="preserve"> — stops the premium drain (after confirming the Life policy is unaffected).</w:t>
      </w:r>
    </w:p>
    <w:p>
      <w:pPr>
        <w:spacing w:lineRule="auto"/>
      </w:pPr>
      <w:r>
        <w:rPr/>
        <w:t xml:space="preserve">The </w:t>
      </w:r>
      <w:r>
        <w:rPr>
          <w:b/>
        </w:rPr>
        <w:t xml:space="preserve">big-ticket strategic discussion</w:t>
      </w:r>
      <w:r>
        <w:rPr/>
        <w:t xml:space="preserve"> is the </w:t>
      </w:r>
      <w:r>
        <w:rPr>
          <w:b/>
        </w:rPr>
        <w:t xml:space="preserve">home downsize</w:t>
      </w:r>
      <w:r>
        <w:rPr/>
        <w:t xml:space="preserve"> (Section 18) — without it, the $75k income target is not robustly funded. The </w:t>
      </w:r>
      <w:r>
        <w:rPr>
          <w:b/>
        </w:rPr>
        <w:t xml:space="preserve">downsizer contribution</w:t>
      </w:r>
      <w:r>
        <w:rPr/>
        <w:t xml:space="preserve"> is the load-bearing financial decision; every other strategy supports or complements it.</w:t>
      </w:r>
    </w:p>
    <w:p>
      <w:pPr>
        <w:spacing w:lineRule="auto"/>
      </w:pPr>
      <w:r>
        <w:rPr/>
        <w:t xml:space="preserve">Once the gating data in Section 24 is in hand, this paper can be converted into a formal </w:t>
      </w:r>
      <w:r>
        <w:rPr>
          <w:b/>
        </w:rPr>
        <w:t xml:space="preserve">Statement of Advice</w:t>
      </w:r>
      <w:r>
        <w:rPr/>
        <w:t xml:space="preserve"> with specific dollar recommendations and product comparisons. Per Strategy 16, material strategies should be cross-checked with </w:t>
      </w:r>
      <w:r>
        <w:rPr>
          <w:b/>
        </w:rPr>
        <w:t xml:space="preserve">Cooper &amp; Lockhart</w:t>
      </w:r>
      <w:r>
        <w:rPr/>
        <w:t xml:space="preserve"> (tax/SMSF) and </w:t>
      </w:r>
      <w:r>
        <w:rPr>
          <w:b/>
        </w:rPr>
        <w:t xml:space="preserve">Doug Patrick / Lakeside Lawyers</w:t>
      </w:r>
      <w:r>
        <w:rPr/>
        <w:t xml:space="preserve"> (estate) before the SOA is finalised — particularly the CGT apportionment on the land, the re-contribution component split, the downsizer eligibility/timing, and the testamentary trust structure.</w:t>
      </w:r>
    </w:p>
    <w:p>
      <w:pPr>
        <w:ind w:left="284"/>
        <w:jc w:val="both"/>
        <w:spacing w:lineRule="auto"/>
      </w:pPr>
      <w:r>
        <w:rPr>
          <w:b/>
        </w:rPr>
        <w:t xml:space="preserve">Disclaimer —</w:t>
      </w:r>
      <w:r>
        <w:rPr/>
        <w:t xml:space="preserve"> This is a strategy/discussion paper prepared for adviser review, not personal financial advice or a Statement of Advice. It is general in nature and based on information provided as at 04 June 2026, some unverified and flagged </w:t>
      </w:r>
      <w:r>
        <w:rPr>
          <w:b/>
        </w:rPr>
        <w:t xml:space="preserve">[TO CONFIRM]</w:t>
      </w:r>
      <w:r>
        <w:rPr/>
        <w:t xml:space="preserve">. No action should be taken until figures are verified, the material strategies are cross-checked with the household's accountant and solicitor, and a formal SOA is issued. Past performance is not a reliable indicator of future performance.</w:t>
      </w:r>
    </w:p>
    <w:p>
      <w:pPr>
        <w:spacing w:lineRule="auto"/>
      </w:pPr>
      <w:r>
        <w:rPr/>
        <w:t xml:space="preserve">— End of paper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altName w:val="Arial"/>
    <w:family w:val="swiss"/>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emjwilliam@gmail.com" TargetMode="External"/>
  <Relationship Id="rId7" Type="http://schemas.openxmlformats.org/officeDocument/2006/relationships/hyperlink" Target="mailto:joelizw@bigpond.com"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2026-06-04T03:21:24.580Z</dcterms:created>
  <dcterms:modified xsi:type="dcterms:W3CDTF">2026-06-04T03:21:24.580Z</dcterms:modified>
</cp:coreProperties>
</file>