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1BEC" w14:textId="77777777" w:rsidR="003057F0" w:rsidRDefault="00E26904">
      <w:pPr>
        <w:keepNext/>
        <w:pBdr>
          <w:bottom w:val="single" w:sz="6" w:space="0" w:color="DDDDDD"/>
        </w:pBdr>
        <w:spacing w:before="260" w:after="90"/>
      </w:pPr>
      <w:r>
        <w:rPr>
          <w:b/>
          <w:bCs/>
          <w:color w:val="4C9A2A"/>
          <w:sz w:val="32"/>
          <w:szCs w:val="32"/>
        </w:rPr>
        <w:t>LAKESIDE FINANCIAL</w:t>
      </w:r>
    </w:p>
    <w:p w14:paraId="3975FEA2" w14:textId="77777777" w:rsidR="003057F0" w:rsidRDefault="00E26904">
      <w:pPr>
        <w:spacing w:after="120"/>
      </w:pPr>
      <w:r>
        <w:rPr>
          <w:i/>
          <w:iCs/>
        </w:rPr>
        <w:t>Advice for life</w:t>
      </w:r>
    </w:p>
    <w:p w14:paraId="7EB654C7" w14:textId="77777777" w:rsidR="003057F0" w:rsidRDefault="00E26904">
      <w:pPr>
        <w:keepNext/>
        <w:pBdr>
          <w:bottom w:val="single" w:sz="6" w:space="0" w:color="DDDDDD"/>
        </w:pBdr>
        <w:spacing w:before="260" w:after="90"/>
      </w:pPr>
      <w:r>
        <w:rPr>
          <w:b/>
          <w:bCs/>
          <w:color w:val="4C9A2A"/>
          <w:sz w:val="32"/>
          <w:szCs w:val="32"/>
        </w:rPr>
        <w:t>Statement of Advice</w:t>
      </w:r>
    </w:p>
    <w:p w14:paraId="33DF64E2" w14:textId="03194F13" w:rsidR="003057F0" w:rsidRDefault="00E26904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KLM Australia Super Fund — SMSF structure, LRBA &amp;</w:t>
      </w:r>
      <w:r>
        <w:rPr>
          <w:b/>
          <w:bCs/>
          <w:color w:val="333333"/>
          <w:sz w:val="22"/>
          <w:szCs w:val="22"/>
        </w:rPr>
        <w:t xml:space="preserve"> business-real-property leaseback: compliance &amp;</w:t>
      </w:r>
      <w:r>
        <w:rPr>
          <w:b/>
          <w:bCs/>
          <w:color w:val="333333"/>
          <w:sz w:val="22"/>
          <w:szCs w:val="22"/>
        </w:rPr>
        <w:t xml:space="preserve"> operating framework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7534"/>
      </w:tblGrid>
      <w:tr w:rsidR="003057F0" w14:paraId="7B4CB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2DFF0E" w14:textId="77777777" w:rsidR="003057F0" w:rsidRDefault="003057F0"/>
        </w:tc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9E8478" w14:textId="77777777" w:rsidR="003057F0" w:rsidRDefault="003057F0"/>
        </w:tc>
      </w:tr>
      <w:tr w:rsidR="003057F0" w14:paraId="6EDB0B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4DC6E" w14:textId="77777777" w:rsidR="003057F0" w:rsidRDefault="00E26904">
            <w:r>
              <w:rPr>
                <w:b/>
                <w:bCs/>
              </w:rPr>
              <w:t>Prepared for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4951FC" w14:textId="642E320D" w:rsidR="003057F0" w:rsidRDefault="00E26904">
            <w:r>
              <w:t>The trustees of the KLM Australia Super Fund — Kiah Thornton, Matthew James Sheen &amp;</w:t>
            </w:r>
            <w:r>
              <w:t xml:space="preserve"> Lyndon John Holland</w:t>
            </w:r>
          </w:p>
        </w:tc>
      </w:tr>
      <w:tr w:rsidR="003057F0" w14:paraId="78751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49E836" w14:textId="77777777" w:rsidR="003057F0" w:rsidRDefault="00E26904">
            <w:r>
              <w:rPr>
                <w:b/>
                <w:bCs/>
              </w:rPr>
              <w:t>Date of advice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5E587B" w14:textId="77777777" w:rsidR="003057F0" w:rsidRDefault="00E26904">
            <w:r>
              <w:t>23 June 2026</w:t>
            </w:r>
          </w:p>
        </w:tc>
      </w:tr>
      <w:tr w:rsidR="003057F0" w14:paraId="150E0D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654979" w14:textId="77777777" w:rsidR="003057F0" w:rsidRDefault="00E26904">
            <w:r>
              <w:rPr>
                <w:b/>
                <w:bCs/>
              </w:rPr>
              <w:t>Prepared by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C08DD6" w14:textId="77777777" w:rsidR="003057F0" w:rsidRDefault="00E26904">
            <w:r>
              <w:t>Tristan Biro, Financial Adviser</w:t>
            </w:r>
          </w:p>
        </w:tc>
      </w:tr>
      <w:tr w:rsidR="003057F0" w14:paraId="6D21EB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204205" w14:textId="77777777" w:rsidR="003057F0" w:rsidRDefault="00E26904">
            <w:r>
              <w:rPr>
                <w:b/>
                <w:bCs/>
              </w:rPr>
              <w:t>Authorised Representative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91A2DF" w14:textId="7484FC17" w:rsidR="003057F0" w:rsidRDefault="00E26904">
            <w:r>
              <w:t>Lakeside Financial · AR No</w:t>
            </w:r>
            <w:r w:rsidR="002D4736">
              <w:t xml:space="preserve">. </w:t>
            </w:r>
            <w:r w:rsidR="002D4736" w:rsidRPr="002D4736">
              <w:rPr>
                <w:b/>
                <w:bCs/>
              </w:rPr>
              <w:t>01313019</w:t>
            </w:r>
          </w:p>
        </w:tc>
      </w:tr>
      <w:tr w:rsidR="003057F0" w14:paraId="6F213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527B96" w14:textId="77777777" w:rsidR="003057F0" w:rsidRDefault="00E26904">
            <w:r>
              <w:rPr>
                <w:b/>
                <w:bCs/>
              </w:rPr>
              <w:t>Australian Financial Services Licensee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5BF70A" w14:textId="77777777" w:rsidR="003057F0" w:rsidRDefault="00E26904">
            <w:r>
              <w:t xml:space="preserve">Pareto Group Pty Ltd · </w:t>
            </w:r>
            <w:r>
              <w:rPr>
                <w:b/>
                <w:bCs/>
              </w:rPr>
              <w:t>AFSL No. 418700</w:t>
            </w:r>
          </w:p>
        </w:tc>
      </w:tr>
      <w:tr w:rsidR="003057F0" w14:paraId="576FF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D815B1" w14:textId="77777777" w:rsidR="003057F0" w:rsidRDefault="00E26904">
            <w:r>
              <w:rPr>
                <w:b/>
                <w:bCs/>
              </w:rPr>
              <w:t>Adviser contact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C512D3" w14:textId="77777777" w:rsidR="003057F0" w:rsidRDefault="00E26904">
            <w:r>
              <w:t>03 9596 5111</w:t>
            </w:r>
          </w:p>
        </w:tc>
      </w:tr>
    </w:tbl>
    <w:p w14:paraId="3B66442C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5D522140" w14:textId="104C7C63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1. Purpose &amp;</w:t>
      </w:r>
      <w:r>
        <w:rPr>
          <w:b/>
          <w:bCs/>
          <w:color w:val="4C9A2A"/>
          <w:sz w:val="26"/>
          <w:szCs w:val="26"/>
        </w:rPr>
        <w:t xml:space="preserve"> how to use this document</w:t>
      </w:r>
    </w:p>
    <w:p w14:paraId="32D28937" w14:textId="77777777" w:rsidR="003057F0" w:rsidRDefault="00E26904">
      <w:pPr>
        <w:spacing w:after="120"/>
      </w:pPr>
      <w:r>
        <w:t xml:space="preserve">You have decided to proceed with acquiring a commercial property inside the </w:t>
      </w:r>
      <w:r>
        <w:rPr>
          <w:b/>
          <w:bCs/>
        </w:rPr>
        <w:t>KLM Australia Super Fund</w:t>
      </w:r>
      <w:r>
        <w:t xml:space="preserve"> (the </w:t>
      </w:r>
      <w:r>
        <w:rPr>
          <w:b/>
          <w:bCs/>
        </w:rPr>
        <w:t>Fund</w:t>
      </w:r>
      <w:r>
        <w:t xml:space="preserve">) and leasing it to your business. The structure (SMSF with corporate trustee, holding/bare trust and custodian company) has </w:t>
      </w:r>
      <w:r>
        <w:rPr>
          <w:b/>
          <w:bCs/>
        </w:rPr>
        <w:t>already been established and signed</w:t>
      </w:r>
      <w:r>
        <w:t>.</w:t>
      </w:r>
    </w:p>
    <w:p w14:paraId="51E6CB36" w14:textId="19814569" w:rsidR="003057F0" w:rsidRDefault="00E26904">
      <w:pPr>
        <w:spacing w:after="120"/>
      </w:pPr>
      <w:r>
        <w:t xml:space="preserve">This document is therefore intended as a </w:t>
      </w:r>
      <w:r>
        <w:rPr>
          <w:b/>
          <w:bCs/>
        </w:rPr>
        <w:t>rules and compliance framework</w:t>
      </w:r>
      <w:r>
        <w:t xml:space="preserve"> — it sets out, in one place, </w:t>
      </w:r>
      <w:r>
        <w:rPr>
          <w:b/>
          <w:bCs/>
        </w:rPr>
        <w:t>how the arrangement must be structured and operated to remain compliant</w:t>
      </w:r>
      <w:r>
        <w:t xml:space="preserve">, what must be </w:t>
      </w:r>
      <w:r>
        <w:rPr>
          <w:b/>
          <w:bCs/>
        </w:rPr>
        <w:t>confirmed before settlement</w:t>
      </w:r>
      <w:r>
        <w:t xml:space="preserve">, and the </w:t>
      </w:r>
      <w:r>
        <w:rPr>
          <w:b/>
          <w:bCs/>
        </w:rPr>
        <w:t>ongoing obligations</w:t>
      </w:r>
      <w:r>
        <w:t xml:space="preserve"> that keep the Fund</w:t>
      </w:r>
      <w:r w:rsidR="002D4736">
        <w:t xml:space="preserve"> in</w:t>
      </w:r>
      <w:r>
        <w:t xml:space="preserve"> complying status. It validates the structure for lender purposes and ensures everything is done correctly </w:t>
      </w:r>
      <w:r>
        <w:rPr>
          <w:b/>
          <w:bCs/>
        </w:rPr>
        <w:t>moving forward</w:t>
      </w:r>
      <w:r>
        <w:t xml:space="preserve">. Where a step has already been taken, this document </w:t>
      </w:r>
      <w:r>
        <w:rPr>
          <w:b/>
          <w:bCs/>
        </w:rPr>
        <w:t>confirms</w:t>
      </w:r>
      <w:r>
        <w:t xml:space="preserve"> it; where a step is still outstanding, it sets out what must happen.</w:t>
      </w:r>
    </w:p>
    <w:p w14:paraId="1E0EB45B" w14:textId="1EB9618E" w:rsidR="003057F0" w:rsidRDefault="00E26904">
      <w:pPr>
        <w:spacing w:after="120"/>
      </w:pPr>
      <w:r>
        <w:t xml:space="preserve">It is </w:t>
      </w:r>
      <w:r>
        <w:rPr>
          <w:b/>
          <w:bCs/>
        </w:rPr>
        <w:t>scaled</w:t>
      </w:r>
      <w:r>
        <w:t xml:space="preserve"> — limited to the SMSF structure, the property acquisition via the LRBA, the related-party lease, and the supporting investment strategy, contributions and residency rules. It does </w:t>
      </w:r>
      <w:r>
        <w:rPr>
          <w:b/>
          <w:bCs/>
        </w:rPr>
        <w:t>not</w:t>
      </w:r>
      <w:r>
        <w:t xml:space="preserve"> cover detailed retirement, insurance or estate planning, the property valuation/conveyancing, the loan terms, or the tax/GST/audit work (your accountant, solicitor, valuer, auditor and lender).</w:t>
      </w:r>
    </w:p>
    <w:p w14:paraId="3529C374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E3BFC0E" w14:textId="77777777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2. The parties, the Fund and the property</w:t>
      </w:r>
    </w:p>
    <w:p w14:paraId="7E41606D" w14:textId="77777777" w:rsidR="003057F0" w:rsidRDefault="00E26904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The Fund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7"/>
        <w:gridCol w:w="7869"/>
      </w:tblGrid>
      <w:tr w:rsidR="003057F0" w14:paraId="73A43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1D3068" w14:textId="77777777" w:rsidR="003057F0" w:rsidRDefault="003057F0"/>
        </w:tc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D6D488" w14:textId="77777777" w:rsidR="003057F0" w:rsidRDefault="003057F0"/>
        </w:tc>
      </w:tr>
      <w:tr w:rsidR="003057F0" w14:paraId="5D2035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8E4BE4" w14:textId="77777777" w:rsidR="003057F0" w:rsidRDefault="00E26904">
            <w:r>
              <w:t>Fund name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273C6" w14:textId="77777777" w:rsidR="003057F0" w:rsidRDefault="00E26904">
            <w:r>
              <w:t xml:space="preserve">KLM Australia Super Fund (SMSF, established </w:t>
            </w:r>
            <w:r>
              <w:rPr>
                <w:b/>
                <w:bCs/>
              </w:rPr>
              <w:t>23 May 2025</w:t>
            </w:r>
            <w:r>
              <w:t>)</w:t>
            </w:r>
          </w:p>
        </w:tc>
      </w:tr>
      <w:tr w:rsidR="003057F0" w14:paraId="74EFC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BE5AD0" w14:textId="77777777" w:rsidR="003057F0" w:rsidRDefault="00E26904">
            <w:r>
              <w:t>Corporate trustee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AEB202" w14:textId="77777777" w:rsidR="003057F0" w:rsidRDefault="00E26904">
            <w:r>
              <w:rPr>
                <w:b/>
                <w:bCs/>
              </w:rPr>
              <w:t>KLM Australia Super Fund Pty Ltd</w:t>
            </w:r>
            <w:r>
              <w:t xml:space="preserve"> (ACN 687 401 798), Unit 601, 15 Vaughan Place, Adelaide SA 5000</w:t>
            </w:r>
          </w:p>
        </w:tc>
      </w:tr>
      <w:tr w:rsidR="003057F0" w14:paraId="41E8C8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74CF9E" w14:textId="77777777" w:rsidR="003057F0" w:rsidRDefault="00E26904">
            <w:r>
              <w:t>Members / directors of trustee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4DBA16" w14:textId="77777777" w:rsidR="003057F0" w:rsidRDefault="00E26904">
            <w:r>
              <w:t>Kiah Thornton; Matthew James Sheen; Lyndon John Holland</w:t>
            </w:r>
          </w:p>
        </w:tc>
      </w:tr>
      <w:tr w:rsidR="003057F0" w14:paraId="3B963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50FBFD" w14:textId="77777777" w:rsidR="003057F0" w:rsidRDefault="00E26904">
            <w:r>
              <w:t>Estimated combined balance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FE663" w14:textId="613A5CC9" w:rsidR="003057F0" w:rsidRDefault="00E26904">
            <w:r>
              <w:rPr>
                <w:b/>
                <w:bCs/>
              </w:rPr>
              <w:t>~$600,000</w:t>
            </w:r>
            <w:r>
              <w:t xml:space="preserve"> </w:t>
            </w:r>
          </w:p>
        </w:tc>
      </w:tr>
    </w:tbl>
    <w:p w14:paraId="4329ED90" w14:textId="4F5E9E3A" w:rsidR="003057F0" w:rsidRDefault="00E26904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The structure (already established)</w:t>
      </w:r>
    </w:p>
    <w:p w14:paraId="3A8B9131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Holding / bare trust:</w:t>
      </w:r>
      <w:r>
        <w:t xml:space="preserve"> KLM Super Property Trust.</w:t>
      </w:r>
    </w:p>
    <w:p w14:paraId="174DE383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>Holding trustee / custodian:</w:t>
      </w:r>
      <w:r>
        <w:t xml:space="preserve"> KLM Super Property Pty Ltd (ACN 687 617 116) — holds legal title to the property for the Fund.</w:t>
      </w:r>
    </w:p>
    <w:p w14:paraId="221DE2D9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Tenant (related party):</w:t>
      </w:r>
      <w:r>
        <w:t xml:space="preserve"> Sparrow XPL Pty Ltd (ACN 685 694 106), sole director Matthew James Sheen — the operating business that will occupy the property.</w:t>
      </w:r>
    </w:p>
    <w:p w14:paraId="6F945288" w14:textId="77777777" w:rsidR="003057F0" w:rsidRDefault="00E26904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The property</w:t>
      </w:r>
    </w:p>
    <w:p w14:paraId="282F11FC" w14:textId="77777777" w:rsidR="003057F0" w:rsidRDefault="00E26904">
      <w:pPr>
        <w:spacing w:after="120"/>
      </w:pPr>
      <w:r>
        <w:rPr>
          <w:b/>
          <w:bCs/>
        </w:rPr>
        <w:t>Lot 29 (C15), 41 Watt Road, Mornington VIC 3931</w:t>
      </w:r>
      <w:r>
        <w:t xml:space="preserve"> — an </w:t>
      </w:r>
      <w:r>
        <w:rPr>
          <w:b/>
          <w:bCs/>
        </w:rPr>
        <w:t>off-the-plan commercial property</w:t>
      </w:r>
      <w:r>
        <w:t xml:space="preserve"> (proposed Plan of Subdivision PS923820N; part of CT Vol 11292 Folio 179 &amp;amp; 180; separate title to issue for Lot 29 before settlement).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5"/>
        <w:gridCol w:w="7921"/>
      </w:tblGrid>
      <w:tr w:rsidR="003057F0" w14:paraId="41123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D1BDA6" w14:textId="58C52638" w:rsidR="003057F0" w:rsidRDefault="00E26904">
            <w:r>
              <w:rPr>
                <w:b/>
                <w:bCs/>
                <w:color w:val="2E5A17"/>
              </w:rPr>
              <w:t>Acquisition</w:t>
            </w:r>
          </w:p>
        </w:tc>
        <w:tc>
          <w:tcPr>
            <w:tcW w:w="0" w:type="auto"/>
            <w:shd w:val="clear" w:color="auto" w:fill="CDE3BF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655F9E" w14:textId="77777777" w:rsidR="003057F0" w:rsidRDefault="00E26904">
            <w:r>
              <w:rPr>
                <w:b/>
                <w:bCs/>
                <w:color w:val="2E5A17"/>
              </w:rPr>
              <w:t>Amount</w:t>
            </w:r>
          </w:p>
        </w:tc>
      </w:tr>
      <w:tr w:rsidR="003057F0" w14:paraId="00C979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530F1C" w14:textId="77777777" w:rsidR="003057F0" w:rsidRDefault="00E26904">
            <w:r>
              <w:t>Proposed rent (lease on file)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7774D3" w14:textId="3CC9AE1C" w:rsidR="003057F0" w:rsidRPr="002D4736" w:rsidRDefault="00E26904">
            <w:pPr>
              <w:rPr>
                <w:b/>
                <w:bCs/>
              </w:rPr>
            </w:pPr>
            <w:r>
              <w:rPr>
                <w:b/>
                <w:bCs/>
              </w:rPr>
              <w:t>$44,200 p.a. + GST + outgoings</w:t>
            </w:r>
            <w:r>
              <w:t xml:space="preserve"> (≈$3,683/mo), 3% fixed annual increases</w:t>
            </w:r>
            <w:r w:rsidR="002D4736">
              <w:t xml:space="preserve"> </w:t>
            </w:r>
            <w:r w:rsidR="002D4736">
              <w:rPr>
                <w:b/>
                <w:bCs/>
              </w:rPr>
              <w:t>(discretion advised)</w:t>
            </w:r>
          </w:p>
        </w:tc>
      </w:tr>
      <w:tr w:rsidR="003057F0" w14:paraId="356AD6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413C19" w14:textId="77777777" w:rsidR="003057F0" w:rsidRDefault="00E26904">
            <w:r>
              <w:t>Lease term</w:t>
            </w:r>
          </w:p>
        </w:tc>
        <w:tc>
          <w:tcPr>
            <w:tcW w:w="0" w:type="auto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AB7315" w14:textId="77777777" w:rsidR="003057F0" w:rsidRDefault="00E26904">
            <w:r>
              <w:t>3 years from 22 June 2026 (rent from 1 July 2026), with 3 × 3-year options</w:t>
            </w:r>
          </w:p>
        </w:tc>
      </w:tr>
    </w:tbl>
    <w:p w14:paraId="474F13CE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FB79722" w14:textId="77777777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3. The arrangement at a glance</w:t>
      </w:r>
    </w:p>
    <w:p w14:paraId="012DD044" w14:textId="277AA976" w:rsidR="003057F0" w:rsidRDefault="00E26904">
      <w:pPr>
        <w:spacing w:after="120"/>
      </w:pPr>
      <w:r>
        <w:t>The Fund borrows under a Limited Recourse Borrowing Arrangement (LRBA) to acquire a single commercial property, which is held by a custodian (holding trustee) on a bare trust for the Fund. The property is then leased to the members</w:t>
      </w:r>
      <w:r w:rsidR="002D4736">
        <w:t xml:space="preserve"> &amp;</w:t>
      </w:r>
      <w:r>
        <w:t xml:space="preserve"> own business at market rent. Because it is </w:t>
      </w:r>
      <w:r>
        <w:rPr>
          <w:b/>
          <w:bCs/>
        </w:rPr>
        <w:t>business real property</w:t>
      </w:r>
      <w:r>
        <w:t>, super law permits both the related-party acquisition/lease and the borrowing — provided the rules in §4–§10 are met and maintained.</w:t>
      </w:r>
    </w:p>
    <w:p w14:paraId="559B7D2B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491DCADD" w14:textId="77777777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4. Rule — SMSF with a corporate trustee  [SATISFIED]</w:t>
      </w:r>
    </w:p>
    <w:p w14:paraId="16FC6956" w14:textId="77777777" w:rsidR="003057F0" w:rsidRDefault="00E26904">
      <w:pPr>
        <w:spacing w:after="120"/>
      </w:pPr>
      <w:r>
        <w:t xml:space="preserve">The Fund must remain an SMSF (≤6 members; all members are directors of the corporate trustee, and all directors are members). A corporate trustee is appropriate and generally required for an SMSF that borrows and holds property — title and borrower are clearly held in the company&amp;#39;s name, and membership changes are simpler. </w:t>
      </w:r>
      <w:r>
        <w:rPr>
          <w:b/>
          <w:bCs/>
        </w:rPr>
        <w:t>Confirm</w:t>
      </w:r>
      <w:r>
        <w:t xml:space="preserve"> each member/director holds a </w:t>
      </w:r>
      <w:r>
        <w:rPr>
          <w:b/>
          <w:bCs/>
        </w:rPr>
        <w:t>director ID</w:t>
      </w:r>
      <w:r>
        <w:t xml:space="preserve"> and has signed the </w:t>
      </w:r>
      <w:r>
        <w:rPr>
          <w:b/>
          <w:bCs/>
        </w:rPr>
        <w:t>trustee declaration (s104A)</w:t>
      </w:r>
      <w:r>
        <w:t>, and the Fund is ATO-registered and elected to be regulated.</w:t>
      </w:r>
    </w:p>
    <w:p w14:paraId="6C61D50B" w14:textId="77777777" w:rsidR="003057F0" w:rsidRDefault="00E26904">
      <w:pPr>
        <w:spacing w:after="120"/>
      </w:pPr>
      <w:r>
        <w:rPr>
          <w:i/>
          <w:iCs/>
        </w:rPr>
        <w:t>Legislative basis: SIS Act 1993 s17A, s104A.</w:t>
      </w:r>
    </w:p>
    <w:p w14:paraId="0036E7CF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55679763" w14:textId="77777777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5. Rule — the property must be, and remain, business real property  [MUST MAINTAIN]</w:t>
      </w:r>
    </w:p>
    <w:p w14:paraId="02278ABC" w14:textId="77777777" w:rsidR="003057F0" w:rsidRDefault="00E26904">
      <w:pPr>
        <w:spacing w:after="120"/>
      </w:pPr>
      <w:r>
        <w:t xml:space="preserve">An SMSF generally </w:t>
      </w:r>
      <w:r>
        <w:rPr>
          <w:b/>
          <w:bCs/>
        </w:rPr>
        <w:t>cannot acquire assets from related parties</w:t>
      </w:r>
      <w:r>
        <w:t xml:space="preserve"> and is limited to </w:t>
      </w:r>
      <w:r>
        <w:rPr>
          <w:b/>
          <w:bCs/>
        </w:rPr>
        <w:t>5% in-house assets</w:t>
      </w:r>
      <w:r>
        <w:t xml:space="preserve"> — but </w:t>
      </w:r>
      <w:r>
        <w:rPr>
          <w:b/>
          <w:bCs/>
        </w:rPr>
        <w:t>business real property (BRP)</w:t>
      </w:r>
      <w:r>
        <w:t xml:space="preserve"> is the key exception: an SMSF may acquire BRP at </w:t>
      </w:r>
      <w:r>
        <w:rPr>
          <w:b/>
          <w:bCs/>
        </w:rPr>
        <w:t>market value</w:t>
      </w:r>
      <w:r>
        <w:t xml:space="preserve"> and </w:t>
      </w:r>
      <w:r>
        <w:rPr>
          <w:b/>
          <w:bCs/>
        </w:rPr>
        <w:t>lease it to a related party</w:t>
      </w:r>
      <w:r>
        <w:t xml:space="preserve"> (without it being an in-house asset), provided the property is used </w:t>
      </w:r>
      <w:r>
        <w:rPr>
          <w:b/>
          <w:bCs/>
        </w:rPr>
        <w:t>wholly and exclusively in one or more businesses</w:t>
      </w:r>
      <w:r>
        <w:t>.</w:t>
      </w:r>
    </w:p>
    <w:p w14:paraId="42020106" w14:textId="77777777" w:rsidR="003057F0" w:rsidRDefault="00E26904">
      <w:pPr>
        <w:spacing w:after="120"/>
      </w:pPr>
      <w:r>
        <w:rPr>
          <w:b/>
          <w:bCs/>
        </w:rPr>
        <w:t>What must hold true:</w:t>
      </w:r>
    </w:p>
    <w:p w14:paraId="1854478C" w14:textId="77777777" w:rsidR="006D7944" w:rsidRPr="006D7944" w:rsidRDefault="006D7944" w:rsidP="006D7944">
      <w:pPr>
        <w:numPr>
          <w:ilvl w:val="0"/>
          <w:numId w:val="2"/>
        </w:numPr>
        <w:spacing w:after="120"/>
      </w:pPr>
      <w:r w:rsidRPr="006D7944">
        <w:rPr>
          <w:b/>
          <w:bCs/>
        </w:rPr>
        <w:t>Genuine business use only.</w:t>
      </w:r>
      <w:r w:rsidRPr="006D7944">
        <w:t> The premises must be used </w:t>
      </w:r>
      <w:r w:rsidRPr="006D7944">
        <w:rPr>
          <w:b/>
          <w:bCs/>
        </w:rPr>
        <w:t>wholly and exclusively in the business</w:t>
      </w:r>
      <w:r w:rsidRPr="006D7944">
        <w:t> (the "Administrative Office" use must satisfy this test) — with </w:t>
      </w:r>
      <w:r w:rsidRPr="006D7944">
        <w:rPr>
          <w:b/>
          <w:bCs/>
        </w:rPr>
        <w:t>no private or residential use at any time</w:t>
      </w:r>
      <w:r w:rsidRPr="006D7944">
        <w:t>.</w:t>
      </w:r>
    </w:p>
    <w:p w14:paraId="74498698" w14:textId="77777777" w:rsidR="006D7944" w:rsidRPr="006D7944" w:rsidRDefault="006D7944" w:rsidP="006D7944">
      <w:pPr>
        <w:numPr>
          <w:ilvl w:val="0"/>
          <w:numId w:val="2"/>
        </w:numPr>
        <w:spacing w:after="120"/>
      </w:pPr>
      <w:r w:rsidRPr="006D7944">
        <w:rPr>
          <w:b/>
          <w:bCs/>
        </w:rPr>
        <w:t>Acquired at market value.</w:t>
      </w:r>
      <w:r w:rsidRPr="006D7944">
        <w:t> The purchase price must reflect the property's </w:t>
      </w:r>
      <w:r w:rsidRPr="006D7944">
        <w:rPr>
          <w:b/>
          <w:bCs/>
        </w:rPr>
        <w:t>market value</w:t>
      </w:r>
      <w:r w:rsidRPr="006D7944">
        <w:t>, supported by an </w:t>
      </w:r>
      <w:r w:rsidRPr="006D7944">
        <w:rPr>
          <w:b/>
          <w:bCs/>
        </w:rPr>
        <w:t>independent valuation</w:t>
      </w:r>
      <w:r w:rsidRPr="006D7944">
        <w:t> (see §13).</w:t>
      </w:r>
    </w:p>
    <w:p w14:paraId="52434ABC" w14:textId="77777777" w:rsidR="003057F0" w:rsidRDefault="00E26904">
      <w:pPr>
        <w:spacing w:after="120"/>
      </w:pPr>
      <w:r>
        <w:t>I</w:t>
      </w:r>
      <w:r>
        <w:t xml:space="preserve">f the property ever ceases to be BRP (e.g. partial private use), the related-party acquisition/lease can </w:t>
      </w:r>
      <w:r>
        <w:rPr>
          <w:b/>
          <w:bCs/>
        </w:rPr>
        <w:t>breach s66</w:t>
      </w:r>
      <w:r>
        <w:t xml:space="preserve"> and become an </w:t>
      </w:r>
      <w:r>
        <w:rPr>
          <w:b/>
          <w:bCs/>
        </w:rPr>
        <w:t>in-house asset</w:t>
      </w:r>
      <w:r>
        <w:t xml:space="preserve"> — a serious compliance breach. BRP status must be confirmed at the start and </w:t>
      </w:r>
      <w:r>
        <w:rPr>
          <w:b/>
          <w:bCs/>
        </w:rPr>
        <w:t>maintained for the life of the arrangement</w:t>
      </w:r>
      <w:r>
        <w:t>.</w:t>
      </w:r>
    </w:p>
    <w:p w14:paraId="7A96FE16" w14:textId="77777777" w:rsidR="003057F0" w:rsidRDefault="00E26904">
      <w:pPr>
        <w:spacing w:after="120"/>
      </w:pPr>
      <w:r>
        <w:rPr>
          <w:i/>
          <w:iCs/>
        </w:rPr>
        <w:t>Legislative basis: SIS Act 1993 s66 (related-party acquisitions; BRP exception s66(2)(b)); s66(5) (BRP definition); s71, Part 8 (in-house assets; BRP lease exception). ATO guidance: SMSFR 2009/1.</w:t>
      </w:r>
    </w:p>
    <w:p w14:paraId="0D9E927F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766D965" w14:textId="77777777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6. Rule — the LRBA and the off-the-plan asset  [CONFIRM BEFORE DRAWDOWN]</w:t>
      </w:r>
    </w:p>
    <w:p w14:paraId="5FAEC790" w14:textId="5DF433D4" w:rsidR="003057F0" w:rsidRDefault="00E26904">
      <w:pPr>
        <w:spacing w:after="120"/>
      </w:pPr>
      <w:r>
        <w:t xml:space="preserve">A complying LRBA requires: borrowing applied to acquire a </w:t>
      </w:r>
      <w:r>
        <w:rPr>
          <w:b/>
          <w:bCs/>
        </w:rPr>
        <w:t>single acquirable asset</w:t>
      </w:r>
      <w:r>
        <w:t xml:space="preserve">; the asset held by a </w:t>
      </w:r>
      <w:r>
        <w:rPr>
          <w:b/>
          <w:bCs/>
        </w:rPr>
        <w:t>custodian</w:t>
      </w:r>
      <w:r>
        <w:t xml:space="preserve"> on trust; the Fund holding the </w:t>
      </w:r>
      <w:r>
        <w:rPr>
          <w:b/>
          <w:bCs/>
        </w:rPr>
        <w:t>beneficial interest</w:t>
      </w:r>
      <w:r>
        <w:t xml:space="preserve"> and the </w:t>
      </w:r>
      <w:r>
        <w:rPr>
          <w:b/>
          <w:bCs/>
        </w:rPr>
        <w:t>right to acquire legal title</w:t>
      </w:r>
      <w:r>
        <w:t xml:space="preserve"> once the loan is repaid; the lender</w:t>
      </w:r>
      <w:r>
        <w:t xml:space="preserve">s recourse on default </w:t>
      </w:r>
      <w:r>
        <w:rPr>
          <w:b/>
          <w:bCs/>
        </w:rPr>
        <w:t>limited to that asset</w:t>
      </w:r>
      <w:r>
        <w:t xml:space="preserve">; and </w:t>
      </w:r>
      <w:r>
        <w:rPr>
          <w:b/>
          <w:bCs/>
        </w:rPr>
        <w:t>no borrowed money used to improve or construct</w:t>
      </w:r>
      <w:r>
        <w:t xml:space="preserve"> the asset.</w:t>
      </w:r>
    </w:p>
    <w:p w14:paraId="4F2AD147" w14:textId="77777777" w:rsidR="003057F0" w:rsidRDefault="00E26904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lastRenderedPageBreak/>
        <w:t>Off-the-plan — fact-check against the law and your documents</w:t>
      </w:r>
    </w:p>
    <w:p w14:paraId="38AB7533" w14:textId="77777777" w:rsidR="003057F0" w:rsidRPr="00107BC0" w:rsidRDefault="00E26904">
      <w:pPr>
        <w:spacing w:after="120"/>
      </w:pPr>
      <w:r>
        <w:rPr>
          <w:b/>
          <w:bCs/>
        </w:rPr>
        <w:t>The law (SMSFR 2012/1).</w:t>
      </w:r>
      <w:r>
        <w:t xml:space="preserve"> The ATO </w:t>
      </w:r>
      <w:r>
        <w:rPr>
          <w:b/>
          <w:bCs/>
        </w:rPr>
        <w:t>accepts</w:t>
      </w:r>
      <w:r>
        <w:t xml:space="preserve"> that an </w:t>
      </w:r>
      <w:r>
        <w:rPr>
          <w:b/>
          <w:bCs/>
        </w:rPr>
        <w:t>off-the-plan strata unit or single-title block of land</w:t>
      </w:r>
      <w:r>
        <w:t xml:space="preserve">, acquired under a </w:t>
      </w:r>
      <w:r>
        <w:rPr>
          <w:b/>
          <w:bCs/>
        </w:rPr>
        <w:t xml:space="preserve">contract </w:t>
      </w:r>
      <w:r w:rsidRPr="00107BC0">
        <w:rPr>
          <w:b/>
          <w:bCs/>
        </w:rPr>
        <w:t>of sale</w:t>
      </w:r>
      <w:r w:rsidRPr="00107BC0">
        <w:t xml:space="preserve"> with a </w:t>
      </w:r>
      <w:r w:rsidRPr="00107BC0">
        <w:rPr>
          <w:b/>
          <w:bCs/>
        </w:rPr>
        <w:t>deposit and the balance payable at settlement</w:t>
      </w:r>
      <w:r w:rsidRPr="00107BC0">
        <w:t xml:space="preserve">, can be funded under </w:t>
      </w:r>
      <w:r w:rsidRPr="00107BC0">
        <w:rPr>
          <w:b/>
          <w:bCs/>
        </w:rPr>
        <w:t>one</w:t>
      </w:r>
      <w:r w:rsidRPr="00107BC0">
        <w:t xml:space="preserve"> LRBA. </w:t>
      </w:r>
      <w:r w:rsidRPr="00107BC0">
        <w:rPr>
          <w:b/>
          <w:bCs/>
        </w:rPr>
        <w:t>The trap:</w:t>
      </w:r>
      <w:r w:rsidRPr="00107BC0">
        <w:t xml:space="preserve"> if the purchase is instead structured as an </w:t>
      </w:r>
      <w:r w:rsidRPr="00107BC0">
        <w:rPr>
          <w:b/>
          <w:bCs/>
        </w:rPr>
        <w:t>option</w:t>
      </w:r>
      <w:r w:rsidRPr="00107BC0">
        <w:t xml:space="preserve"> over off-the-plan property, the </w:t>
      </w:r>
      <w:r w:rsidRPr="00107BC0">
        <w:rPr>
          <w:i/>
          <w:iCs/>
        </w:rPr>
        <w:t>option</w:t>
      </w:r>
      <w:r w:rsidRPr="00107BC0">
        <w:t xml:space="preserve"> is the single acquirable asset, and acquiring the property on exercise of the option is a </w:t>
      </w:r>
      <w:r w:rsidRPr="00107BC0">
        <w:rPr>
          <w:b/>
          <w:bCs/>
        </w:rPr>
        <w:t>different asset</w:t>
      </w:r>
      <w:r w:rsidRPr="00107BC0">
        <w:t xml:space="preserve"> that would require a </w:t>
      </w:r>
      <w:r w:rsidRPr="00107BC0">
        <w:rPr>
          <w:b/>
          <w:bCs/>
        </w:rPr>
        <w:t>separate LRBA</w:t>
      </w:r>
      <w:r w:rsidRPr="00107BC0">
        <w:t>. So the contract structure matters.</w:t>
      </w:r>
    </w:p>
    <w:p w14:paraId="24BBE84A" w14:textId="5B4086C6" w:rsidR="003057F0" w:rsidRPr="00107BC0" w:rsidRDefault="00E26904">
      <w:pPr>
        <w:spacing w:after="120"/>
      </w:pPr>
      <w:r w:rsidRPr="00107BC0">
        <w:rPr>
          <w:b/>
          <w:bCs/>
        </w:rPr>
        <w:t>What your attached documents confirm (</w:t>
      </w:r>
      <w:r w:rsidR="00107BC0" w:rsidRPr="00107BC0">
        <w:rPr>
          <w:b/>
          <w:bCs/>
        </w:rPr>
        <w:t>compliant</w:t>
      </w:r>
      <w:r w:rsidRPr="00107BC0">
        <w:rPr>
          <w:b/>
          <w:bCs/>
        </w:rPr>
        <w:t>):</w:t>
      </w:r>
    </w:p>
    <w:p w14:paraId="57CB32A7" w14:textId="4D8FBF78" w:rsidR="003057F0" w:rsidRDefault="00E26904">
      <w:pPr>
        <w:pStyle w:val="ListParagraph"/>
        <w:numPr>
          <w:ilvl w:val="0"/>
          <w:numId w:val="1"/>
        </w:numPr>
        <w:spacing w:after="60"/>
      </w:pPr>
      <w:r w:rsidRPr="00107BC0">
        <w:t xml:space="preserve">The </w:t>
      </w:r>
      <w:r w:rsidRPr="00107BC0">
        <w:rPr>
          <w:b/>
          <w:bCs/>
        </w:rPr>
        <w:t>Single Acquirable Asset confirmation letter</w:t>
      </w:r>
      <w:r w:rsidRPr="00107BC0">
        <w:t xml:space="preserve"> describes the purchase as a </w:t>
      </w:r>
      <w:r w:rsidRPr="00107BC0">
        <w:rPr>
          <w:b/>
          <w:bCs/>
        </w:rPr>
        <w:t>Contract of Sale</w:t>
      </w:r>
      <w:r w:rsidRPr="00107BC0">
        <w:t xml:space="preserve"> (with a Deed of Variation) for </w:t>
      </w:r>
      <w:r w:rsidRPr="00107BC0">
        <w:rPr>
          <w:b/>
          <w:bCs/>
        </w:rPr>
        <w:t>Lot 29</w:t>
      </w:r>
      <w:r w:rsidRPr="00107BC0">
        <w:t xml:space="preserve"> — &amp;</w:t>
      </w:r>
      <w:r w:rsidR="00107BC0" w:rsidRPr="00107BC0">
        <w:t xml:space="preserve"> </w:t>
      </w:r>
      <w:r w:rsidRPr="00107BC0">
        <w:t>one single parcel of real property</w:t>
      </w:r>
      <w:r>
        <w:t xml:space="preserve"> (one lot)</w:t>
      </w:r>
      <w:r w:rsidR="00107BC0">
        <w:t xml:space="preserve"> </w:t>
      </w:r>
      <w:r>
        <w:t xml:space="preserve">— with a </w:t>
      </w:r>
      <w:r>
        <w:rPr>
          <w:b/>
          <w:bCs/>
        </w:rPr>
        <w:t>separate title to issue before settlement</w:t>
      </w:r>
      <w:r>
        <w:t>.</w:t>
      </w:r>
    </w:p>
    <w:p w14:paraId="29630D5B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>Holding Trust Deed</w:t>
      </w:r>
      <w:r>
        <w:t xml:space="preserve"> (KLM Super Property Trust) records the </w:t>
      </w:r>
      <w:r>
        <w:rPr>
          <w:b/>
          <w:bCs/>
        </w:rPr>
        <w:t>Asset</w:t>
      </w:r>
      <w:r>
        <w:t xml:space="preserve"> as 41 Watt Road, Mornington (C15) and requires the Beneficiary to ensure it is a </w:t>
      </w:r>
      <w:r>
        <w:rPr>
          <w:b/>
          <w:bCs/>
        </w:rPr>
        <w:t>single acquirable asset</w:t>
      </w:r>
      <w:r>
        <w:t>.</w:t>
      </w:r>
    </w:p>
    <w:p w14:paraId="580429FC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t xml:space="preserve">The </w:t>
      </w:r>
      <w:r>
        <w:rPr>
          <w:b/>
          <w:bCs/>
        </w:rPr>
        <w:t>LRBA Structure Confirmation letter</w:t>
      </w:r>
      <w:r>
        <w:t xml:space="preserve"> confirms the custodian/holding-trust structure and the intent to satisfy s67A.</w:t>
      </w:r>
    </w:p>
    <w:p w14:paraId="32CB7ECA" w14:textId="77777777" w:rsidR="003057F0" w:rsidRDefault="00E26904">
      <w:pPr>
        <w:spacing w:after="120"/>
      </w:pPr>
      <w:r>
        <w:t xml:space="preserve">On their face, these support a compliant </w:t>
      </w:r>
      <w:r>
        <w:rPr>
          <w:b/>
          <w:bCs/>
        </w:rPr>
        <w:t>single-asset, off-the-plan, contract-of-sale</w:t>
      </w:r>
      <w:r>
        <w:t xml:space="preserve"> acquisition under one LRBA — consistent with SMSFR 2012/1.</w:t>
      </w:r>
    </w:p>
    <w:p w14:paraId="50603393" w14:textId="77777777" w:rsidR="003057F0" w:rsidRDefault="00E26904">
      <w:pPr>
        <w:spacing w:after="120"/>
      </w:pPr>
      <w:r>
        <w:rPr>
          <w:i/>
          <w:iCs/>
        </w:rPr>
        <w:t>L</w:t>
      </w:r>
      <w:r>
        <w:rPr>
          <w:i/>
          <w:iCs/>
        </w:rPr>
        <w:t>egislative basis: SIS Act 1993 s67A, s67B (LRBAs); Part 7 (borrowing). ATO guidance: SMSFR 2012/1.</w:t>
      </w:r>
    </w:p>
    <w:p w14:paraId="15A76D44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53177B88" w14:textId="10B4C1A7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7. Rule — related-party lease must be at market rent on arm</w:t>
      </w:r>
      <w:r>
        <w:rPr>
          <w:b/>
          <w:bCs/>
          <w:color w:val="4C9A2A"/>
          <w:sz w:val="26"/>
          <w:szCs w:val="26"/>
        </w:rPr>
        <w:t>s-length terms  [MUST MAINTAIN]</w:t>
      </w:r>
    </w:p>
    <w:p w14:paraId="46EAE23A" w14:textId="4FED693E" w:rsidR="003057F0" w:rsidRDefault="00E26904">
      <w:pPr>
        <w:spacing w:after="120"/>
      </w:pPr>
      <w:r>
        <w:t xml:space="preserve">Leasing BRP to your business is permitted, but the dealing must be </w:t>
      </w:r>
      <w:r>
        <w:rPr>
          <w:b/>
          <w:bCs/>
        </w:rPr>
        <w:t>at arm</w:t>
      </w:r>
      <w:r>
        <w:rPr>
          <w:b/>
          <w:bCs/>
        </w:rPr>
        <w:t>s</w:t>
      </w:r>
      <w:r w:rsidR="00107BC0">
        <w:rPr>
          <w:b/>
          <w:bCs/>
        </w:rPr>
        <w:t>-</w:t>
      </w:r>
      <w:r>
        <w:rPr>
          <w:b/>
          <w:bCs/>
        </w:rPr>
        <w:t>length</w:t>
      </w:r>
      <w:r>
        <w:t xml:space="preserve">: the </w:t>
      </w:r>
      <w:r>
        <w:rPr>
          <w:b/>
          <w:bCs/>
        </w:rPr>
        <w:t xml:space="preserve">rent must be </w:t>
      </w:r>
      <w:r w:rsidR="00107BC0">
        <w:rPr>
          <w:b/>
          <w:bCs/>
        </w:rPr>
        <w:t xml:space="preserve">around </w:t>
      </w:r>
      <w:r>
        <w:rPr>
          <w:b/>
          <w:bCs/>
        </w:rPr>
        <w:t>market rent</w:t>
      </w:r>
      <w:r>
        <w:t xml:space="preserve">, </w:t>
      </w:r>
      <w:r>
        <w:rPr>
          <w:b/>
          <w:bCs/>
        </w:rPr>
        <w:t>paid in full and on time</w:t>
      </w:r>
      <w:r>
        <w:t>, exactly as an unrelated tenant would.</w:t>
      </w:r>
    </w:p>
    <w:p w14:paraId="3BF5B266" w14:textId="77777777" w:rsidR="003057F0" w:rsidRDefault="00E26904">
      <w:pPr>
        <w:spacing w:after="120"/>
      </w:pPr>
      <w:r>
        <w:rPr>
          <w:b/>
          <w:bCs/>
        </w:rPr>
        <w:t>What must hold true — and what we are flagging to you:</w:t>
      </w:r>
    </w:p>
    <w:p w14:paraId="5BC9B909" w14:textId="1B55FBDB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Obtain independent evidence that $44,200 p.a. + GST (3% annual increases) is market rent</w:t>
      </w:r>
      <w:r>
        <w:t xml:space="preserve"> for this property. On an illustrative purchase price this is roughly a 6–7% gross yield (plausible for commercial), </w:t>
      </w:r>
      <w:r>
        <w:rPr>
          <w:b/>
          <w:bCs/>
        </w:rPr>
        <w:t>but it must be confirmed by a registered valuer, not assumed.</w:t>
      </w:r>
      <w:r>
        <w:t xml:space="preserve"> </w:t>
      </w:r>
      <w:r>
        <w:rPr>
          <w:b/>
          <w:bCs/>
        </w:rPr>
        <w:t>You are advised that this independent market-rent evidence must be obtained and kept on file.</w:t>
      </w:r>
    </w:p>
    <w:p w14:paraId="64CC8122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Rent must actually be paid</w:t>
      </w:r>
      <w:r>
        <w:t xml:space="preserve"> in full and on time under the lease — </w:t>
      </w:r>
      <w:r>
        <w:rPr>
          <w:b/>
          <w:bCs/>
        </w:rPr>
        <w:t>no informal discounts, deferrals or arrears</w:t>
      </w:r>
      <w:r>
        <w:t>, even though the tenant is related. Underpayment or non-payment is a breach.</w:t>
      </w:r>
    </w:p>
    <w:p w14:paraId="1482E0A7" w14:textId="47C595F6" w:rsidR="003057F0" w:rsidRDefault="00E26904">
      <w:pPr>
        <w:pStyle w:val="ListParagraph"/>
        <w:numPr>
          <w:ilvl w:val="0"/>
          <w:numId w:val="1"/>
        </w:numPr>
        <w:spacing w:after="60"/>
      </w:pPr>
      <w:r>
        <w:t xml:space="preserve">Confirm </w:t>
      </w:r>
      <w:r>
        <w:rPr>
          <w:b/>
          <w:bCs/>
        </w:rPr>
        <w:t>GST registration</w:t>
      </w:r>
      <w:r>
        <w:t xml:space="preserve"> for the Fund/landlord</w:t>
      </w:r>
      <w:r>
        <w:t xml:space="preserve"> and the </w:t>
      </w:r>
      <w:r>
        <w:rPr>
          <w:b/>
          <w:bCs/>
        </w:rPr>
        <w:t>outgoings</w:t>
      </w:r>
      <w:r>
        <w:t xml:space="preserve"> recovery with your accountant.</w:t>
      </w:r>
    </w:p>
    <w:p w14:paraId="7BF11E56" w14:textId="36204CFD" w:rsidR="003057F0" w:rsidRDefault="00E26904">
      <w:pPr>
        <w:spacing w:after="120"/>
      </w:pPr>
      <w:r>
        <w:t xml:space="preserve">Below-market rent, unpaid rent or non-commercial terms breach the </w:t>
      </w:r>
      <w:r>
        <w:rPr>
          <w:b/>
          <w:bCs/>
        </w:rPr>
        <w:t>arm</w:t>
      </w:r>
      <w:r>
        <w:rPr>
          <w:b/>
          <w:bCs/>
        </w:rPr>
        <w:t>s-length</w:t>
      </w:r>
      <w:r>
        <w:t xml:space="preserve"> requirement and the </w:t>
      </w:r>
      <w:r>
        <w:rPr>
          <w:b/>
          <w:bCs/>
        </w:rPr>
        <w:t>sole purpose test</w:t>
      </w:r>
      <w:r>
        <w:t>.</w:t>
      </w:r>
    </w:p>
    <w:p w14:paraId="6C25C7DE" w14:textId="77777777" w:rsidR="003057F0" w:rsidRDefault="00E26904">
      <w:pPr>
        <w:spacing w:after="120"/>
      </w:pPr>
      <w:r>
        <w:rPr>
          <w:i/>
          <w:iCs/>
        </w:rPr>
        <w:t>Legislative basis: SIS Act 1993 s62 (sole purpose test); s109, s52B(2)(d)/(f) (arm&amp;#39;s-length dealings); s71 (in-house assets — BRP exception).</w:t>
      </w:r>
    </w:p>
    <w:p w14:paraId="00718EF5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F85F17F" w14:textId="19E5897A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8. Rule — contributions &amp;</w:t>
      </w:r>
      <w:r>
        <w:rPr>
          <w:b/>
          <w:bCs/>
          <w:color w:val="4C9A2A"/>
          <w:sz w:val="26"/>
          <w:szCs w:val="26"/>
        </w:rPr>
        <w:t xml:space="preserve"> liquidity to service the arrangement  [ONGOING]</w:t>
      </w:r>
    </w:p>
    <w:p w14:paraId="708E5A38" w14:textId="5F678D94" w:rsidR="003057F0" w:rsidRDefault="00E26904">
      <w:pPr>
        <w:spacing w:after="120"/>
      </w:pPr>
      <w:r>
        <w:t xml:space="preserve">Loan repayments, insurance, audit, ASIC, ATO levy and running costs are paid </w:t>
      </w:r>
      <w:r>
        <w:rPr>
          <w:b/>
          <w:bCs/>
        </w:rPr>
        <w:t>from the Fund</w:t>
      </w:r>
      <w:r>
        <w:t xml:space="preserve">. Rent of ~$44,200 p.a. may not, by itself, cover principal + interest + costs; any shortfall is typically funded by </w:t>
      </w:r>
      <w:r>
        <w:rPr>
          <w:b/>
          <w:bCs/>
        </w:rPr>
        <w:t>member contributions</w:t>
      </w:r>
      <w:r w:rsidR="00107BC0">
        <w:rPr>
          <w:b/>
          <w:bCs/>
        </w:rPr>
        <w:t xml:space="preserve"> &amp; rent paid to the fund</w:t>
      </w:r>
      <w:r>
        <w:t xml:space="preserve">, </w:t>
      </w:r>
    </w:p>
    <w:p w14:paraId="20280DD2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Concessional (pre-tax):</w:t>
      </w:r>
      <w:r>
        <w:t xml:space="preserve"> $30,000 each (2025-26); </w:t>
      </w:r>
      <w:r>
        <w:rPr>
          <w:b/>
          <w:bCs/>
        </w:rPr>
        <w:t>$32,500 each from 1 July 2026</w:t>
      </w:r>
      <w:r>
        <w:t>.</w:t>
      </w:r>
    </w:p>
    <w:p w14:paraId="3BA6E9B6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Non-concessional (after-tax):</w:t>
      </w:r>
      <w:r>
        <w:t xml:space="preserve"> $120,000 each (2025-26); </w:t>
      </w:r>
      <w:r>
        <w:rPr>
          <w:b/>
          <w:bCs/>
        </w:rPr>
        <w:t>$130,000 each from 1 July 2026</w:t>
      </w:r>
      <w:r>
        <w:t xml:space="preserve"> (bring-forward up to $390,000 from 1 July 2026, subject to total-super-balance and age tests).</w:t>
      </w:r>
    </w:p>
    <w:p w14:paraId="0D60BC58" w14:textId="7C87F5CC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Carry-forward</w:t>
      </w:r>
      <w:r>
        <w:t xml:space="preserve"> unused concessional cap may be available where a </w:t>
      </w:r>
      <w:r w:rsidR="00107BC0">
        <w:t>member’s</w:t>
      </w:r>
      <w:r>
        <w:t xml:space="preserve"> total super balance is under $500,000. </w:t>
      </w:r>
    </w:p>
    <w:p w14:paraId="53262B8C" w14:textId="479B499C" w:rsidR="003057F0" w:rsidRDefault="00E26904">
      <w:pPr>
        <w:spacing w:after="120"/>
      </w:pPr>
      <w:r>
        <w:rPr>
          <w:b/>
          <w:bCs/>
        </w:rPr>
        <w:t>Maintain</w:t>
      </w:r>
      <w:r>
        <w:t xml:space="preserve"> an annual cash-flow model (rent in; loan, costs and any pension payments out) and a </w:t>
      </w:r>
      <w:r>
        <w:rPr>
          <w:b/>
          <w:bCs/>
        </w:rPr>
        <w:t>cash liquidity buffer</w:t>
      </w:r>
      <w:r>
        <w:t xml:space="preserve"> (commonly several months</w:t>
      </w:r>
      <w:r w:rsidR="00107BC0">
        <w:t xml:space="preserve"> of</w:t>
      </w:r>
      <w:r>
        <w:t xml:space="preserve"> repayments).</w:t>
      </w:r>
    </w:p>
    <w:p w14:paraId="7A6180CF" w14:textId="77777777" w:rsidR="003057F0" w:rsidRDefault="00E26904">
      <w:pPr>
        <w:spacing w:after="120"/>
      </w:pPr>
      <w:r>
        <w:rPr>
          <w:i/>
          <w:iCs/>
        </w:rPr>
        <w:t>Legislative basis: ITAA 1997 Div 291, s291-20, s292.</w:t>
      </w:r>
    </w:p>
    <w:p w14:paraId="09977512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272EE5C" w14:textId="6814F99F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9. Rule — investment strategy, diversification &amp;</w:t>
      </w:r>
      <w:r>
        <w:rPr>
          <w:b/>
          <w:bCs/>
          <w:color w:val="4C9A2A"/>
          <w:sz w:val="26"/>
          <w:szCs w:val="26"/>
        </w:rPr>
        <w:t xml:space="preserve"> liquidity  [</w:t>
      </w:r>
      <w:r>
        <w:rPr>
          <w:b/>
          <w:bCs/>
          <w:color w:val="4C9A2A"/>
          <w:sz w:val="26"/>
          <w:szCs w:val="26"/>
        </w:rPr>
        <w:t>DOCUMENT]</w:t>
      </w:r>
    </w:p>
    <w:p w14:paraId="5E2F0973" w14:textId="1A30EF9C" w:rsidR="003057F0" w:rsidRDefault="00E26904">
      <w:pPr>
        <w:spacing w:after="120"/>
      </w:pPr>
      <w:r>
        <w:t>You are proceeding with this acquisition, and our role here is to confirm the arrangement is structured validly and to record the rule that applies. After the purchase the Fund</w:t>
      </w:r>
      <w:r>
        <w:t xml:space="preserve">s assets will be </w:t>
      </w:r>
      <w:r>
        <w:rPr>
          <w:b/>
          <w:bCs/>
        </w:rPr>
        <w:t>concentrated in one geared commercial property</w:t>
      </w:r>
      <w:r>
        <w:t xml:space="preserve">. This is </w:t>
      </w:r>
      <w:r>
        <w:rPr>
          <w:b/>
          <w:bCs/>
        </w:rPr>
        <w:t>permitted</w:t>
      </w:r>
      <w:r>
        <w:t xml:space="preserve">, but super law </w:t>
      </w:r>
      <w:r w:rsidR="00107BC0">
        <w:t xml:space="preserve">encourages </w:t>
      </w:r>
      <w:r>
        <w:t xml:space="preserve"> the trustees to </w:t>
      </w:r>
      <w:r>
        <w:rPr>
          <w:b/>
          <w:bCs/>
        </w:rPr>
        <w:t>prepare and give effect to an investment strategy</w:t>
      </w:r>
      <w:r>
        <w:t xml:space="preserve"> that has regard to:</w:t>
      </w:r>
    </w:p>
    <w:p w14:paraId="4D8A6C4D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>Diversification</w:t>
      </w:r>
      <w:r>
        <w:t xml:space="preserve"> — the Fund will be </w:t>
      </w:r>
      <w:r>
        <w:rPr>
          <w:b/>
          <w:bCs/>
        </w:rPr>
        <w:t>highly concentrated</w:t>
      </w:r>
      <w:r>
        <w:t xml:space="preserve"> (effectively a single asset). The trustees </w:t>
      </w:r>
      <w:r>
        <w:rPr>
          <w:b/>
          <w:bCs/>
        </w:rPr>
        <w:t>must document why a single-asset, geared strategy is appropriate</w:t>
      </w:r>
      <w:r>
        <w:t xml:space="preserve"> for all members, having considered the risks. A bare statement is not sufficient.</w:t>
      </w:r>
    </w:p>
    <w:p w14:paraId="5269928C" w14:textId="136E53EB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Liquidity</w:t>
      </w:r>
      <w:r w:rsidR="00107BC0">
        <w:rPr>
          <w:b/>
          <w:bCs/>
        </w:rPr>
        <w:t xml:space="preserve"> &amp;</w:t>
      </w:r>
      <w:r>
        <w:rPr>
          <w:b/>
          <w:bCs/>
        </w:rPr>
        <w:t xml:space="preserve"> ability to discharge liabilities</w:t>
      </w:r>
      <w:r>
        <w:t xml:space="preserve"> — the Fund must be able to meet loan repayments, expenses and members</w:t>
      </w:r>
      <w:r w:rsidR="00107BC0">
        <w:t xml:space="preserve"> &amp;</w:t>
      </w:r>
      <w:r>
        <w:t xml:space="preserve"> benefits when due (see §8).</w:t>
      </w:r>
    </w:p>
    <w:p w14:paraId="3727F720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Risk and likely return</w:t>
      </w:r>
      <w:r>
        <w:t xml:space="preserve"> — gearing increases both.</w:t>
      </w:r>
    </w:p>
    <w:p w14:paraId="1340608B" w14:textId="65E62751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Members</w:t>
      </w:r>
      <w:r w:rsidR="00107BC0">
        <w:rPr>
          <w:b/>
          <w:bCs/>
        </w:rPr>
        <w:t xml:space="preserve"> </w:t>
      </w:r>
      <w:r>
        <w:rPr>
          <w:b/>
          <w:bCs/>
        </w:rPr>
        <w:t>&amp;</w:t>
      </w:r>
      <w:r>
        <w:rPr>
          <w:b/>
          <w:bCs/>
        </w:rPr>
        <w:t xml:space="preserve"> insurance</w:t>
      </w:r>
      <w:r>
        <w:t xml:space="preserve"> — the trustees must consider holding </w:t>
      </w:r>
      <w:r>
        <w:rPr>
          <w:b/>
          <w:bCs/>
        </w:rPr>
        <w:t>insurance</w:t>
      </w:r>
      <w:r>
        <w:t xml:space="preserve"> for members; this matters here because, if a member dies or is disabled, the Fund may need liquidity to pay a benefit </w:t>
      </w:r>
      <w:r>
        <w:rPr>
          <w:b/>
          <w:bCs/>
        </w:rPr>
        <w:t>without being forced to sell the property</w:t>
      </w:r>
      <w:r>
        <w:t xml:space="preserve">. </w:t>
      </w:r>
      <w:r w:rsidR="00107BC0" w:rsidRPr="009C25BB">
        <w:rPr>
          <w:b/>
          <w:bCs/>
          <w:color w:val="EE0000"/>
        </w:rPr>
        <w:t>SOMETHING LAKESIDE HIGHLY RECOMMEND!</w:t>
      </w:r>
    </w:p>
    <w:p w14:paraId="27C466C6" w14:textId="460047FB" w:rsidR="003057F0" w:rsidRDefault="00E26904">
      <w:pPr>
        <w:spacing w:after="120"/>
      </w:pPr>
      <w:r>
        <w:rPr>
          <w:b/>
          <w:bCs/>
        </w:rPr>
        <w:t>Action:</w:t>
      </w:r>
      <w:r>
        <w:t xml:space="preserve"> </w:t>
      </w:r>
      <w:r w:rsidR="00107BC0">
        <w:t>discuss</w:t>
      </w:r>
      <w:r>
        <w:t xml:space="preserve"> </w:t>
      </w:r>
      <w:r>
        <w:rPr>
          <w:b/>
          <w:bCs/>
        </w:rPr>
        <w:t>updated investment strategy</w:t>
      </w:r>
      <w:r>
        <w:t xml:space="preserve"> </w:t>
      </w:r>
      <w:r>
        <w:t xml:space="preserve">that expressly addresses the concentration (and </w:t>
      </w:r>
      <w:r>
        <w:rPr>
          <w:b/>
          <w:bCs/>
        </w:rPr>
        <w:t>why it is appropriate</w:t>
      </w:r>
      <w:r>
        <w:t>), liquidity, and the insurance decision for each member, and review it regularly.</w:t>
      </w:r>
    </w:p>
    <w:p w14:paraId="34A78F33" w14:textId="77777777" w:rsidR="003057F0" w:rsidRDefault="00E26904">
      <w:pPr>
        <w:spacing w:after="120"/>
      </w:pPr>
      <w:r>
        <w:rPr>
          <w:i/>
          <w:iCs/>
        </w:rPr>
        <w:t>Legislative basis: SIS Act 1993 s52B(2)(f); SIS Regulations reg 4.09.</w:t>
      </w:r>
    </w:p>
    <w:p w14:paraId="1B2D6621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7B3C838" w14:textId="07B9376F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10. Rule — the Fund must remain an </w:t>
      </w:r>
      <w:r>
        <w:rPr>
          <w:b/>
          <w:bCs/>
          <w:color w:val="4C9A2A"/>
          <w:sz w:val="26"/>
          <w:szCs w:val="26"/>
        </w:rPr>
        <w:t>Australian superannuation fund</w:t>
      </w:r>
      <w:r>
        <w:rPr>
          <w:b/>
          <w:bCs/>
          <w:color w:val="4C9A2A"/>
          <w:sz w:val="26"/>
          <w:szCs w:val="26"/>
        </w:rPr>
        <w:t xml:space="preserve"> (residency)  [MONITOR]</w:t>
      </w:r>
    </w:p>
    <w:p w14:paraId="0714EA15" w14:textId="58E5C4E7" w:rsidR="003057F0" w:rsidRDefault="00E26904">
      <w:pPr>
        <w:spacing w:after="120"/>
      </w:pPr>
      <w:r>
        <w:t xml:space="preserve">For the Fund to stay complying it must, at all times, be an </w:t>
      </w:r>
      <w:r>
        <w:rPr>
          <w:b/>
          <w:bCs/>
        </w:rPr>
        <w:t>Australian superannuation fund</w:t>
      </w:r>
      <w:r>
        <w:t xml:space="preserve">. This is a </w:t>
      </w:r>
      <w:r>
        <w:rPr>
          <w:b/>
          <w:bCs/>
        </w:rPr>
        <w:t>3-part test (ITAA 1997 s295-95)</w:t>
      </w:r>
      <w:r>
        <w:t xml:space="preserve"> — </w:t>
      </w:r>
      <w:r>
        <w:rPr>
          <w:b/>
          <w:bCs/>
        </w:rPr>
        <w:t>all three</w:t>
      </w:r>
      <w:r>
        <w:t xml:space="preserve"> must be met:</w:t>
      </w:r>
    </w:p>
    <w:p w14:paraId="4864E405" w14:textId="2B26A279" w:rsidR="003057F0" w:rsidRDefault="00E26904">
      <w:pPr>
        <w:spacing w:after="60"/>
        <w:ind w:left="360" w:hanging="360"/>
      </w:pPr>
      <w:r>
        <w:t xml:space="preserve">1. </w:t>
      </w:r>
      <w:r>
        <w:rPr>
          <w:b/>
          <w:bCs/>
        </w:rPr>
        <w:t>Establishment / asset test.</w:t>
      </w:r>
      <w:r>
        <w:t xml:space="preserve"> The fund was established in Australia</w:t>
      </w:r>
      <w:r w:rsidR="00CC7C24">
        <w:t xml:space="preserve"> </w:t>
      </w:r>
      <w:r w:rsidR="00CC7C24" w:rsidRPr="00CC7C24">
        <w:rPr>
          <w:b/>
          <w:bCs/>
        </w:rPr>
        <w:t>&amp;/</w:t>
      </w:r>
      <w:r>
        <w:rPr>
          <w:b/>
          <w:bCs/>
        </w:rPr>
        <w:t>or</w:t>
      </w:r>
      <w:r>
        <w:t xml:space="preserve"> has at least one asset in Australia. </w:t>
      </w:r>
      <w:r>
        <w:rPr>
          <w:i/>
          <w:iCs/>
        </w:rPr>
        <w:t>(Satisfied — the fund holds Australian property.)</w:t>
      </w:r>
    </w:p>
    <w:p w14:paraId="618C7D17" w14:textId="52C619A7" w:rsidR="003057F0" w:rsidRDefault="00E26904">
      <w:pPr>
        <w:spacing w:after="60"/>
        <w:ind w:left="360" w:hanging="360"/>
      </w:pPr>
      <w:r>
        <w:t xml:space="preserve">2. </w:t>
      </w:r>
      <w:r>
        <w:rPr>
          <w:b/>
          <w:bCs/>
        </w:rPr>
        <w:t>Central management &amp;</w:t>
      </w:r>
      <w:r>
        <w:rPr>
          <w:b/>
          <w:bCs/>
        </w:rPr>
        <w:t xml:space="preserve"> control </w:t>
      </w:r>
      <w:r>
        <w:rPr>
          <w:b/>
          <w:bCs/>
        </w:rPr>
        <w:t>ordinarily</w:t>
      </w:r>
      <w:r w:rsidR="008F2A4A">
        <w:rPr>
          <w:b/>
          <w:bCs/>
        </w:rPr>
        <w:t xml:space="preserve"> </w:t>
      </w:r>
      <w:r w:rsidR="008F2A4A" w:rsidRPr="008F2A4A">
        <w:rPr>
          <w:b/>
          <w:bCs/>
          <w:color w:val="EE0000"/>
        </w:rPr>
        <w:t>(CM&amp;C)</w:t>
      </w:r>
      <w:r>
        <w:rPr>
          <w:b/>
          <w:bCs/>
        </w:rPr>
        <w:t xml:space="preserve"> in Australia.</w:t>
      </w:r>
      <w:r>
        <w:t xml:space="preserve"> The fund</w:t>
      </w:r>
      <w:r>
        <w:t xml:space="preserve">s </w:t>
      </w:r>
      <w:r>
        <w:rPr>
          <w:b/>
          <w:bCs/>
        </w:rPr>
        <w:t>strategic, high-level decisions</w:t>
      </w:r>
      <w:r>
        <w:t xml:space="preserve"> (e.g. setting the investment strategy) must </w:t>
      </w:r>
      <w:r>
        <w:rPr>
          <w:b/>
          <w:bCs/>
        </w:rPr>
        <w:t>ordinarily</w:t>
      </w:r>
      <w:r>
        <w:t xml:space="preserve"> be made in Australia. There is a</w:t>
      </w:r>
      <w:r w:rsidR="00CC7C24">
        <w:t xml:space="preserve"> </w:t>
      </w:r>
      <w:r w:rsidR="00CC7C24">
        <w:rPr>
          <w:b/>
          <w:bCs/>
        </w:rPr>
        <w:t>safe</w:t>
      </w:r>
      <w:r>
        <w:rPr>
          <w:b/>
          <w:bCs/>
        </w:rPr>
        <w:t xml:space="preserve"> harbour</w:t>
      </w:r>
      <w:r>
        <w:rPr>
          <w:b/>
          <w:bCs/>
        </w:rPr>
        <w:t xml:space="preserve"> (s295-95(4))</w:t>
      </w:r>
      <w:r>
        <w:t xml:space="preserve"> for a </w:t>
      </w:r>
      <w:r>
        <w:rPr>
          <w:b/>
          <w:bCs/>
        </w:rPr>
        <w:t>temporary</w:t>
      </w:r>
      <w:r>
        <w:t xml:space="preserve"> absence of trustees of </w:t>
      </w:r>
      <w:r>
        <w:rPr>
          <w:b/>
          <w:bCs/>
        </w:rPr>
        <w:t>up to 2 years</w:t>
      </w:r>
      <w:r>
        <w:t xml:space="preserve"> — but this is </w:t>
      </w:r>
      <w:r>
        <w:rPr>
          <w:b/>
          <w:bCs/>
        </w:rPr>
        <w:t>not automatic</w:t>
      </w:r>
      <w:r>
        <w:t>: facts matter, and a temporary absence over 2 years does not automatically fail (and under 2 years does not automatically pass).</w:t>
      </w:r>
    </w:p>
    <w:p w14:paraId="65A7BD0F" w14:textId="2808412E" w:rsidR="003057F0" w:rsidRDefault="00E26904">
      <w:pPr>
        <w:spacing w:after="60"/>
        <w:ind w:left="360" w:hanging="360"/>
      </w:pPr>
      <w:r>
        <w:t xml:space="preserve">3. </w:t>
      </w:r>
      <w:r>
        <w:rPr>
          <w:b/>
          <w:bCs/>
        </w:rPr>
        <w:t>Active member test.</w:t>
      </w:r>
      <w:r>
        <w:t xml:space="preserve"> Either the fund has </w:t>
      </w:r>
      <w:r>
        <w:rPr>
          <w:b/>
          <w:bCs/>
        </w:rPr>
        <w:t>no active members</w:t>
      </w:r>
      <w:r>
        <w:t xml:space="preserve">, </w:t>
      </w:r>
      <w:r>
        <w:rPr>
          <w:b/>
          <w:bCs/>
        </w:rPr>
        <w:t>or</w:t>
      </w:r>
      <w:r>
        <w:t xml:space="preserve"> at least </w:t>
      </w:r>
      <w:r>
        <w:rPr>
          <w:b/>
          <w:bCs/>
        </w:rPr>
        <w:t>50%</w:t>
      </w:r>
      <w:r>
        <w:t xml:space="preserve"> of the fund (by market value of assets, or amounts that would be payable) is attributable to </w:t>
      </w:r>
      <w:r>
        <w:rPr>
          <w:b/>
          <w:bCs/>
        </w:rPr>
        <w:t>active members who are Australian residents</w:t>
      </w:r>
      <w:r>
        <w:t xml:space="preserve">. An </w:t>
      </w:r>
      <w:r>
        <w:rPr>
          <w:b/>
          <w:bCs/>
        </w:rPr>
        <w:t>active member</w:t>
      </w:r>
      <w:r>
        <w:t xml:space="preserve"> is a member for whom contributions are being made (or who is contributing).</w:t>
      </w:r>
    </w:p>
    <w:p w14:paraId="6F0CE341" w14:textId="248335E6" w:rsidR="003057F0" w:rsidRDefault="00E26904">
      <w:pPr>
        <w:spacing w:after="120"/>
      </w:pPr>
      <w:r>
        <w:rPr>
          <w:b/>
          <w:bCs/>
        </w:rPr>
        <w:t>Failure of any limb makes the Fund non-complying — with a tax hit of roughly 45%</w:t>
      </w:r>
      <w:r>
        <w:rPr>
          <w:b/>
          <w:bCs/>
        </w:rPr>
        <w:t>.</w:t>
      </w:r>
      <w:r>
        <w:t xml:space="preserve"> This is one of the most damaging breaches in super, so it must be monitored.</w:t>
      </w:r>
    </w:p>
    <w:p w14:paraId="5C7729A6" w14:textId="77777777" w:rsidR="003057F0" w:rsidRDefault="00E26904">
      <w:pPr>
        <w:keepNext/>
        <w:spacing w:before="160" w:after="90"/>
      </w:pPr>
      <w:r>
        <w:rPr>
          <w:b/>
          <w:bCs/>
          <w:color w:val="333333"/>
          <w:sz w:val="22"/>
          <w:szCs w:val="22"/>
        </w:rPr>
        <w:t>How to determine and monitor residency (what you must do)</w:t>
      </w:r>
    </w:p>
    <w:p w14:paraId="6285BB04" w14:textId="13EF8C48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Confirm where each member ordinarily resides now</w:t>
      </w:r>
      <w:r>
        <w:t xml:space="preserve">, and whether any member is likely to </w:t>
      </w:r>
      <w:r>
        <w:rPr>
          <w:b/>
          <w:bCs/>
        </w:rPr>
        <w:t>move or spend extended time overseas</w:t>
      </w:r>
      <w:r>
        <w:t xml:space="preserve">. </w:t>
      </w:r>
      <w:r>
        <w:rPr>
          <w:i/>
          <w:iCs/>
        </w:rPr>
        <w:t>(The notes refer to contactin</w:t>
      </w:r>
      <w:r>
        <w:rPr>
          <w:i/>
          <w:iCs/>
        </w:rPr>
        <w:t>g</w:t>
      </w:r>
      <w:r>
        <w:rPr>
          <w:i/>
          <w:iCs/>
        </w:rPr>
        <w:t xml:space="preserve"> — confirm whether any member is, or will be, overseas, and for how long.)</w:t>
      </w:r>
      <w:r>
        <w:t xml:space="preserve"> </w:t>
      </w:r>
      <w:r w:rsidR="00CC7C24">
        <w:rPr>
          <w:b/>
          <w:bCs/>
        </w:rPr>
        <w:t>Uncle resides overseas spending 6 months away and 6 months in Australia.</w:t>
      </w:r>
    </w:p>
    <w:p w14:paraId="3F647001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Document that trustee/director decisions are made in Australia</w:t>
      </w:r>
      <w:r>
        <w:t xml:space="preserve"> (board minutes/resolutions signed in Australia).</w:t>
      </w:r>
    </w:p>
    <w:p w14:paraId="0B29B141" w14:textId="25533B5F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Identify the active members</w:t>
      </w:r>
      <w:r>
        <w:t xml:space="preserve"> (those receiving contributions) and confirm </w:t>
      </w:r>
      <w:r>
        <w:rPr>
          <w:b/>
          <w:bCs/>
        </w:rPr>
        <w:t xml:space="preserve">Australian-resident active members </w:t>
      </w:r>
      <w:r>
        <w:t>of the fund.</w:t>
      </w:r>
    </w:p>
    <w:p w14:paraId="3D49EDE9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Caution:</w:t>
      </w:r>
      <w:r>
        <w:t xml:space="preserve"> with most of the Fund tied up in </w:t>
      </w:r>
      <w:r>
        <w:rPr>
          <w:b/>
          <w:bCs/>
        </w:rPr>
        <w:t>one illiquid, geared property</w:t>
      </w:r>
      <w:r>
        <w:t xml:space="preserve">, rolling a member out is difficult — so </w:t>
      </w:r>
      <w:r>
        <w:rPr>
          <w:b/>
          <w:bCs/>
        </w:rPr>
        <w:t>plan residency well ahead of any move.</w:t>
      </w:r>
    </w:p>
    <w:p w14:paraId="5838DF5B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Watch the 2-year safe harbour</w:t>
      </w:r>
      <w:r>
        <w:t xml:space="preserve"> for any absence.</w:t>
      </w:r>
    </w:p>
    <w:p w14:paraId="3D9CF81E" w14:textId="77777777" w:rsidR="008F2A4A" w:rsidRDefault="008F2A4A" w:rsidP="008F2A4A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If a member goes (or plans to go) overseas</w:t>
      </w:r>
      <w:r>
        <w:t>, act early — practical options include:</w:t>
      </w:r>
    </w:p>
    <w:p w14:paraId="49E75A69" w14:textId="77777777" w:rsidR="008F2A4A" w:rsidRDefault="008F2A4A" w:rsidP="008F2A4A"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>Appoint an enduring power of attorney (EPOA)</w:t>
      </w:r>
      <w:r>
        <w:t xml:space="preserve"> to an Australian resident to act as trustee/director in the absent member&amp;#39;s place (helps keep CM&amp;amp;C in Australia);</w:t>
      </w:r>
    </w:p>
    <w:p w14:paraId="06635681" w14:textId="4B222697" w:rsidR="003057F0" w:rsidRDefault="00E26904" w:rsidP="00CC7C24">
      <w:pPr>
        <w:pBdr>
          <w:left w:val="single" w:sz="18" w:space="0" w:color="4C9A2A"/>
        </w:pBdr>
        <w:shd w:val="clear" w:color="auto" w:fill="F4F7EF"/>
        <w:spacing w:before="120" w:after="120"/>
        <w:ind w:left="180"/>
      </w:pPr>
      <w:r>
        <w:rPr>
          <w:b/>
          <w:bCs/>
        </w:rPr>
        <w:t>Note on proposed reform.</w:t>
      </w:r>
      <w:r>
        <w:t xml:space="preserve"> A measure was announced (2021/22 Budget) to </w:t>
      </w:r>
      <w:r>
        <w:rPr>
          <w:b/>
          <w:bCs/>
        </w:rPr>
        <w:t xml:space="preserve">extend </w:t>
      </w:r>
      <w:r w:rsidR="00CC7C24">
        <w:rPr>
          <w:b/>
          <w:bCs/>
        </w:rPr>
        <w:t>the s</w:t>
      </w:r>
      <w:r>
        <w:rPr>
          <w:b/>
          <w:bCs/>
        </w:rPr>
        <w:t>afe harbour from 2 to 5 years and remove the active member test</w:t>
      </w:r>
      <w:r>
        <w:t xml:space="preserve">. </w:t>
      </w:r>
      <w:r>
        <w:rPr>
          <w:b/>
          <w:bCs/>
        </w:rPr>
        <w:t>As at late 2025 this is still not law</w:t>
      </w:r>
      <w:r>
        <w:t xml:space="preserve"> — so the </w:t>
      </w:r>
      <w:r>
        <w:rPr>
          <w:b/>
          <w:bCs/>
        </w:rPr>
        <w:t>current 2-year safe harbour and active-member test apply</w:t>
      </w:r>
      <w:r>
        <w:t xml:space="preserve"> and must be relied on.</w:t>
      </w:r>
    </w:p>
    <w:p w14:paraId="2BFA4418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B130D28" w14:textId="1F6E374C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11. Risks &amp;</w:t>
      </w:r>
      <w:r>
        <w:rPr>
          <w:b/>
          <w:bCs/>
          <w:color w:val="4C9A2A"/>
          <w:sz w:val="26"/>
          <w:szCs w:val="26"/>
        </w:rPr>
        <w:t xml:space="preserve"> consequences (summary)</w:t>
      </w:r>
    </w:p>
    <w:p w14:paraId="64EC9976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Concentration / single-asset risk</w:t>
      </w:r>
      <w:r>
        <w:t xml:space="preserve"> — most of your retirement savings sit in one property in one location.</w:t>
      </w:r>
    </w:p>
    <w:p w14:paraId="63C82D37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Gearing risk</w:t>
      </w:r>
      <w:r>
        <w:t xml:space="preserve"> — borrowing magnifies losses as well as gains; rising rates increase repayments.</w:t>
      </w:r>
    </w:p>
    <w:p w14:paraId="117B7FA9" w14:textId="1579C3EF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>Liquidity risk</w:t>
      </w:r>
      <w:r>
        <w:t xml:space="preserve"> — if </w:t>
      </w:r>
      <w:r w:rsidR="00CC7C24">
        <w:t xml:space="preserve">cash, </w:t>
      </w:r>
      <w:r>
        <w:t>rent + contributions don</w:t>
      </w:r>
      <w:r w:rsidR="00CC7C24">
        <w:t>’</w:t>
      </w:r>
      <w:r>
        <w:t>t cover repayments and costs, the Fund may be forced to sell.</w:t>
      </w:r>
    </w:p>
    <w:p w14:paraId="49DD205B" w14:textId="35AB2E9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Tenant / business risk</w:t>
      </w:r>
      <w:r>
        <w:t xml:space="preserve"> — your business is the tenant and you are the members; a business downturn hits the Fund</w:t>
      </w:r>
      <w:r>
        <w:t>s income and your retirement at the same time.</w:t>
      </w:r>
    </w:p>
    <w:p w14:paraId="432F121C" w14:textId="4152858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Market-rent / arm</w:t>
      </w:r>
      <w:r>
        <w:rPr>
          <w:b/>
          <w:bCs/>
        </w:rPr>
        <w:t>s-length risk</w:t>
      </w:r>
      <w:r>
        <w:t xml:space="preserve"> — the lease must stay at </w:t>
      </w:r>
      <w:r w:rsidR="00CC7C24">
        <w:t xml:space="preserve">in and around </w:t>
      </w:r>
      <w:r>
        <w:t>market rent, paid in full and on time.</w:t>
      </w:r>
    </w:p>
    <w:p w14:paraId="7FD687D9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BRP risk</w:t>
      </w:r>
      <w:r>
        <w:t xml:space="preserve"> — the property must remain wholly and exclusively used in business.</w:t>
      </w:r>
    </w:p>
    <w:p w14:paraId="33515EF8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Residency risk</w:t>
      </w:r>
      <w:r>
        <w:t xml:space="preserve"> — see §10; a member overseas can make the Fund non-complying.</w:t>
      </w:r>
    </w:p>
    <w:p w14:paraId="53B52B35" w14:textId="1732DC24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Legislative &amp;</w:t>
      </w:r>
      <w:r w:rsidR="00CC7C24">
        <w:rPr>
          <w:b/>
          <w:bCs/>
        </w:rPr>
        <w:t xml:space="preserve"> </w:t>
      </w:r>
      <w:r>
        <w:rPr>
          <w:b/>
          <w:bCs/>
        </w:rPr>
        <w:t>cost risk</w:t>
      </w:r>
      <w:r>
        <w:t xml:space="preserve"> — super/LRBA/tax rules can change; SMSF property + LRBA carry meaningful ongoing costs.</w:t>
      </w:r>
    </w:p>
    <w:p w14:paraId="6847654C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605F4AC" w14:textId="4B92347F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12. Ongoing compliance checklist (keep these true)</w:t>
      </w:r>
      <w:r w:rsidR="008F2A4A">
        <w:rPr>
          <w:b/>
          <w:bCs/>
          <w:color w:val="4C9A2A"/>
          <w:sz w:val="26"/>
          <w:szCs w:val="26"/>
        </w:rPr>
        <w:t xml:space="preserve"> </w:t>
      </w:r>
      <w:r w:rsidR="008F2A4A" w:rsidRPr="008F2A4A">
        <w:rPr>
          <w:b/>
          <w:bCs/>
          <w:color w:val="EE0000"/>
          <w:sz w:val="26"/>
          <w:szCs w:val="26"/>
        </w:rPr>
        <w:t>ADJUSTABLE DEPENDING ON AE PARTNERS ACCOUNTING PROCESS</w:t>
      </w:r>
    </w:p>
    <w:p w14:paraId="7D8818B6" w14:textId="700DB88D" w:rsidR="003057F0" w:rsidRDefault="00E26904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Property remains </w:t>
      </w:r>
      <w:r>
        <w:rPr>
          <w:b/>
          <w:bCs/>
        </w:rPr>
        <w:t>business real property</w:t>
      </w:r>
      <w:r>
        <w:t xml:space="preserve"> (wholly &amp;</w:t>
      </w:r>
      <w:r>
        <w:t xml:space="preserve"> exclusively in business; no private use).</w:t>
      </w:r>
    </w:p>
    <w:p w14:paraId="69290117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Lease runs at </w:t>
      </w:r>
      <w:r>
        <w:rPr>
          <w:b/>
          <w:bCs/>
        </w:rPr>
        <w:t>market rent</w:t>
      </w:r>
      <w:r>
        <w:t xml:space="preserve">, </w:t>
      </w:r>
      <w:r>
        <w:rPr>
          <w:b/>
          <w:bCs/>
        </w:rPr>
        <w:t>paid in full and on time</w:t>
      </w:r>
      <w:r>
        <w:t>; market-rent evidence reviewed periodically.</w:t>
      </w:r>
    </w:p>
    <w:p w14:paraId="651BBCAD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</w:t>
      </w:r>
      <w:r>
        <w:rPr>
          <w:b/>
          <w:bCs/>
        </w:rPr>
        <w:t>Limited recourse</w:t>
      </w:r>
      <w:r>
        <w:t xml:space="preserve"> preserved; no borrowed money used to improve/construct the asset.</w:t>
      </w:r>
    </w:p>
    <w:p w14:paraId="74221335" w14:textId="44463E88" w:rsidR="003057F0" w:rsidRDefault="00E26904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Fund stays an </w:t>
      </w:r>
      <w:r>
        <w:rPr>
          <w:b/>
          <w:bCs/>
        </w:rPr>
        <w:t>Australian superannuation fund</w:t>
      </w:r>
      <w:r>
        <w:t xml:space="preserve"> in Australia; active-member test; watch member travel).</w:t>
      </w:r>
    </w:p>
    <w:p w14:paraId="5A47DAB4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</w:t>
      </w:r>
      <w:r>
        <w:rPr>
          <w:b/>
          <w:bCs/>
        </w:rPr>
        <w:t>Investment strategy</w:t>
      </w:r>
      <w:r>
        <w:t xml:space="preserve"> (concentration/liquidity/insurance) documented, signed and reviewed.</w:t>
      </w:r>
    </w:p>
    <w:p w14:paraId="119E0E60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</w:t>
      </w:r>
      <w:r>
        <w:rPr>
          <w:b/>
          <w:bCs/>
        </w:rPr>
        <w:t>Liquidity buffer</w:t>
      </w:r>
      <w:r>
        <w:t xml:space="preserve"> maintained; contributions within caps.</w:t>
      </w:r>
    </w:p>
    <w:p w14:paraId="779A2A53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t>☐</w:t>
      </w:r>
      <w:r>
        <w:t xml:space="preserve"> Annual </w:t>
      </w:r>
      <w:r>
        <w:rPr>
          <w:b/>
          <w:bCs/>
        </w:rPr>
        <w:t>SMSF audit</w:t>
      </w:r>
      <w:r>
        <w:t>, accounts, ASIC and ATO obligations met.</w:t>
      </w:r>
    </w:p>
    <w:p w14:paraId="5556B70C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7AB923F8" w14:textId="03E31661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 xml:space="preserve">15. Important information </w:t>
      </w:r>
      <w:r w:rsidR="005908AD">
        <w:rPr>
          <w:b/>
          <w:bCs/>
          <w:color w:val="4C9A2A"/>
          <w:sz w:val="26"/>
          <w:szCs w:val="26"/>
        </w:rPr>
        <w:t>&amp;</w:t>
      </w:r>
      <w:r>
        <w:rPr>
          <w:b/>
          <w:bCs/>
          <w:color w:val="4C9A2A"/>
          <w:sz w:val="26"/>
          <w:szCs w:val="26"/>
        </w:rPr>
        <w:t xml:space="preserve"> disclosures</w:t>
      </w:r>
    </w:p>
    <w:p w14:paraId="2BA5CE6A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Responsibility.</w:t>
      </w:r>
      <w:r>
        <w:t xml:space="preserve"> Provided by Tristan Biro as an Authorised Representative of Pareto Group Pty Ltd (</w:t>
      </w:r>
      <w:r>
        <w:rPr>
          <w:b/>
          <w:bCs/>
        </w:rPr>
        <w:t>AFSL 418700</w:t>
      </w:r>
      <w:r>
        <w:t xml:space="preserve">), which is responsible for the advice. Confirm the adviser&amp;#39;s authorisation covers </w:t>
      </w:r>
      <w:r>
        <w:rPr>
          <w:b/>
          <w:bCs/>
        </w:rPr>
        <w:t>SMSF and gearing/LRBA</w:t>
      </w:r>
      <w:r>
        <w:t xml:space="preserve"> matters.</w:t>
      </w:r>
    </w:p>
    <w:p w14:paraId="18CE30F9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Purpose of the document.</w:t>
      </w:r>
      <w:r>
        <w:t xml:space="preserve"> A lender requires confirmation of the structure before SMSF lending. This document validates the structure </w:t>
      </w:r>
      <w:r>
        <w:rPr>
          <w:b/>
          <w:bCs/>
        </w:rPr>
        <w:t>and</w:t>
      </w:r>
      <w:r>
        <w:t xml:space="preserve"> sets the rules that must be satisfied and maintained — the risks in §10–§11 are real and must be managed, not merely acknowledged.</w:t>
      </w:r>
    </w:p>
    <w:p w14:paraId="6CDF20F5" w14:textId="73A8A1AB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Basis.</w:t>
      </w:r>
      <w:r>
        <w:t xml:space="preserve"> Prepared on the information you and your accountant provided; where incomplete we have stated assumptions</w:t>
      </w:r>
      <w:r w:rsidR="008F2A4A">
        <w:t xml:space="preserve"> </w:t>
      </w:r>
      <w:r>
        <w:t>— tell us if any is wrong, as it may change the position.</w:t>
      </w:r>
    </w:p>
    <w:p w14:paraId="4700534F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6643A60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1E202AE7" w14:textId="76F6EF17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</w:t>
      </w:r>
      <w:r w:rsidR="008F2A4A">
        <w:rPr>
          <w:b/>
          <w:bCs/>
          <w:color w:val="4C9A2A"/>
          <w:sz w:val="26"/>
          <w:szCs w:val="26"/>
        </w:rPr>
        <w:t>6</w:t>
      </w:r>
      <w:r>
        <w:rPr>
          <w:b/>
          <w:bCs/>
          <w:color w:val="4C9A2A"/>
          <w:sz w:val="26"/>
          <w:szCs w:val="26"/>
        </w:rPr>
        <w:t>. Appendix A — entities &amp;</w:t>
      </w:r>
      <w:r>
        <w:rPr>
          <w:b/>
          <w:bCs/>
          <w:color w:val="4C9A2A"/>
          <w:sz w:val="26"/>
          <w:szCs w:val="26"/>
        </w:rPr>
        <w:t xml:space="preserve"> documents relied upon</w:t>
      </w:r>
    </w:p>
    <w:p w14:paraId="531A91F8" w14:textId="77777777" w:rsidR="003057F0" w:rsidRDefault="00E26904">
      <w:pPr>
        <w:spacing w:after="120"/>
      </w:pPr>
      <w:r>
        <w:rPr>
          <w:b/>
          <w:bCs/>
        </w:rPr>
        <w:t>Entities:</w:t>
      </w:r>
      <w:r>
        <w:t xml:space="preserve"> KLM Australia Super Fund (SMSF, est. 23 May 2025); KLM Australia Super Fund Pty Ltd (ACN 687 401 798, corporate trustee); KLM Super Property Pty Ltd (ACN 687 617 116, holding/custodian trustee); KLM Super Property Trust (holding/bare trust); Sparrow XPL Pty Ltd (ACN 685 694 106, tenant/related party).</w:t>
      </w:r>
    </w:p>
    <w:p w14:paraId="3D5EBDD2" w14:textId="77777777" w:rsidR="003057F0" w:rsidRDefault="00E26904">
      <w:pPr>
        <w:spacing w:after="120"/>
      </w:pPr>
      <w:r>
        <w:rPr>
          <w:b/>
          <w:bCs/>
        </w:rPr>
        <w:t>Documents relied upon:</w:t>
      </w:r>
      <w:r>
        <w:t xml:space="preserve"> SMSF Trust Deed; corporate trustee Certificate of Registration &amp;amp; Constitution; KLM Super Property Pty Ltd Constitution; KLM Super Property Trust Holding Trust Deed; Commercial Lease (LIV) for Lot 29, 41 Watt Road, Mornington; Single Acquirable Asset confirmation letter; SMSF LRBA Structure Confirmation letter; meeting notes. </w:t>
      </w:r>
      <w:r>
        <w:rPr>
          <w:b/>
          <w:bCs/>
        </w:rPr>
        <w:t>Not provided / to obtain:</w:t>
      </w:r>
      <w:r>
        <w:t xml:space="preserve"> Contract of Sale &amp;amp; price, loan documents, independent valuation and market-rent evidence, members&amp;#39; balances.</w:t>
      </w:r>
    </w:p>
    <w:p w14:paraId="76A4FC40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26E10B9" w14:textId="6EB8ED1F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</w:t>
      </w:r>
      <w:r w:rsidR="008F2A4A">
        <w:rPr>
          <w:b/>
          <w:bCs/>
          <w:color w:val="4C9A2A"/>
          <w:sz w:val="26"/>
          <w:szCs w:val="26"/>
        </w:rPr>
        <w:t>7</w:t>
      </w:r>
      <w:r>
        <w:rPr>
          <w:b/>
          <w:bCs/>
          <w:color w:val="4C9A2A"/>
          <w:sz w:val="26"/>
          <w:szCs w:val="26"/>
        </w:rPr>
        <w:t>. Appendix B — legislation &amp;</w:t>
      </w:r>
      <w:r>
        <w:rPr>
          <w:b/>
          <w:bCs/>
          <w:color w:val="4C9A2A"/>
          <w:sz w:val="26"/>
          <w:szCs w:val="26"/>
        </w:rPr>
        <w:t xml:space="preserve"> ATO guidance cited</w:t>
      </w:r>
    </w:p>
    <w:p w14:paraId="43844B38" w14:textId="63A53252" w:rsidR="003057F0" w:rsidRDefault="00E26904">
      <w:pPr>
        <w:spacing w:after="120"/>
      </w:pPr>
      <w:r>
        <w:t>SMSF definition &amp;</w:t>
      </w:r>
      <w:r>
        <w:t xml:space="preserve"> corporate trustee (SIS Act 1993 s17A); trustee declaration (s104A); </w:t>
      </w:r>
      <w:r>
        <w:rPr>
          <w:b/>
          <w:bCs/>
        </w:rPr>
        <w:t>sole purpose test (s62)</w:t>
      </w:r>
      <w:r>
        <w:t xml:space="preserve">; </w:t>
      </w:r>
      <w:r>
        <w:rPr>
          <w:b/>
          <w:bCs/>
        </w:rPr>
        <w:t>related-party acquisitions &amp;amp; business real property (s66, s66(5))</w:t>
      </w:r>
      <w:r>
        <w:t xml:space="preserve">; </w:t>
      </w:r>
      <w:r>
        <w:rPr>
          <w:b/>
          <w:bCs/>
        </w:rPr>
        <w:t xml:space="preserve">in-house assets </w:t>
      </w:r>
      <w:r w:rsidR="008F2A4A">
        <w:rPr>
          <w:b/>
          <w:bCs/>
        </w:rPr>
        <w:t>&amp;</w:t>
      </w:r>
      <w:r>
        <w:rPr>
          <w:b/>
          <w:bCs/>
        </w:rPr>
        <w:t xml:space="preserve"> BRP lease exception (s71, Part 8)</w:t>
      </w:r>
      <w:r>
        <w:t xml:space="preserve">; </w:t>
      </w:r>
      <w:r>
        <w:rPr>
          <w:b/>
          <w:bCs/>
        </w:rPr>
        <w:t>limited recourse borrowing arrangements (s67A, s67B; Part 7)</w:t>
      </w:r>
      <w:r>
        <w:t xml:space="preserve">; </w:t>
      </w:r>
      <w:r>
        <w:rPr>
          <w:b/>
          <w:bCs/>
        </w:rPr>
        <w:t>arm</w:t>
      </w:r>
      <w:r>
        <w:rPr>
          <w:b/>
          <w:bCs/>
        </w:rPr>
        <w:t>s-length dealings (s109, s52B)</w:t>
      </w:r>
      <w:r>
        <w:t xml:space="preserve">; </w:t>
      </w:r>
      <w:r>
        <w:rPr>
          <w:b/>
          <w:bCs/>
        </w:rPr>
        <w:t>investment strategy (s52B(2)(f); SIS Reg 4.09)</w:t>
      </w:r>
      <w:r>
        <w:t xml:space="preserve">; </w:t>
      </w:r>
      <w:r>
        <w:rPr>
          <w:b/>
          <w:bCs/>
        </w:rPr>
        <w:t>&amp;</w:t>
      </w:r>
      <w:r w:rsidR="008F2A4A">
        <w:rPr>
          <w:b/>
          <w:bCs/>
        </w:rPr>
        <w:t xml:space="preserve"> </w:t>
      </w:r>
      <w:r>
        <w:rPr>
          <w:b/>
          <w:bCs/>
        </w:rPr>
        <w:t>Australian superannuation fund</w:t>
      </w:r>
      <w:r w:rsidR="008F2A4A">
        <w:rPr>
          <w:b/>
          <w:bCs/>
        </w:rPr>
        <w:t xml:space="preserve"> </w:t>
      </w:r>
      <w:r>
        <w:rPr>
          <w:b/>
          <w:bCs/>
        </w:rPr>
        <w:t>&amp;</w:t>
      </w:r>
      <w:r w:rsidR="008F2A4A">
        <w:rPr>
          <w:b/>
          <w:bCs/>
        </w:rPr>
        <w:t xml:space="preserve"> </w:t>
      </w:r>
      <w:r>
        <w:rPr>
          <w:b/>
          <w:bCs/>
        </w:rPr>
        <w:t>residency (ITAA 1997 s295-95, incl. CM&amp;</w:t>
      </w:r>
      <w:r>
        <w:rPr>
          <w:b/>
          <w:bCs/>
        </w:rPr>
        <w:t>C safe harbour s295-95(4))</w:t>
      </w:r>
      <w:r>
        <w:t xml:space="preserve">; contribution caps (ITAA 1997 Div 291, s291-20, s292). </w:t>
      </w:r>
      <w:r>
        <w:rPr>
          <w:b/>
          <w:bCs/>
        </w:rPr>
        <w:t>ATO guidance:</w:t>
      </w:r>
      <w:r>
        <w:t xml:space="preserve"> SMSFR 2012/1 (LRBAs / single acquirable asset / off-the-plan); SMSFR </w:t>
      </w:r>
      <w:r>
        <w:lastRenderedPageBreak/>
        <w:t xml:space="preserve">2009/1 (business real property); PCG 2016/5 (related-party LRBA safe-harbour terms). </w:t>
      </w:r>
      <w:r>
        <w:rPr>
          <w:i/>
          <w:iCs/>
        </w:rPr>
        <w:t>Confirm current versions at implementation.</w:t>
      </w:r>
    </w:p>
    <w:p w14:paraId="45467E28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3C62A411" w14:textId="039E8D6C" w:rsidR="003057F0" w:rsidRDefault="00E26904">
      <w:pPr>
        <w:keepNext/>
        <w:spacing w:before="260" w:after="90"/>
      </w:pPr>
      <w:r>
        <w:rPr>
          <w:b/>
          <w:bCs/>
          <w:color w:val="4C9A2A"/>
          <w:sz w:val="26"/>
          <w:szCs w:val="26"/>
        </w:rPr>
        <w:t>1</w:t>
      </w:r>
      <w:r w:rsidR="008F2A4A">
        <w:rPr>
          <w:b/>
          <w:bCs/>
          <w:color w:val="4C9A2A"/>
          <w:sz w:val="26"/>
          <w:szCs w:val="26"/>
        </w:rPr>
        <w:t>8</w:t>
      </w:r>
      <w:r>
        <w:rPr>
          <w:b/>
          <w:bCs/>
          <w:color w:val="4C9A2A"/>
          <w:sz w:val="26"/>
          <w:szCs w:val="26"/>
        </w:rPr>
        <w:t>. Appendix C — glossary</w:t>
      </w:r>
    </w:p>
    <w:p w14:paraId="2F3CEA5B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SMSF</w:t>
      </w:r>
      <w:r>
        <w:t xml:space="preserve"> — self-managed superannuation fund (≤6 members, all trustees/directors).</w:t>
      </w:r>
    </w:p>
    <w:p w14:paraId="4EF77827" w14:textId="3DEA8FE0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LRBA</w:t>
      </w:r>
      <w:r>
        <w:t xml:space="preserve"> — limited recourse borrowing arrangement: the Fund borrows to buy a single asset held in a holding trust; the lender</w:t>
      </w:r>
      <w:r>
        <w:t>s recourse is limited to that asset.</w:t>
      </w:r>
    </w:p>
    <w:p w14:paraId="06C95ADF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Holding (bare) trust / custodian</w:t>
      </w:r>
      <w:r>
        <w:t xml:space="preserve"> — holds legal title to the asset for the Fund until the loan is repaid.</w:t>
      </w:r>
    </w:p>
    <w:p w14:paraId="75AFC34C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Business real property (BRP)</w:t>
      </w:r>
      <w:r>
        <w:t xml:space="preserve"> — land/buildings used wholly and exclusively in one or more businesses; can be acquired from, and leased to, a related party.</w:t>
      </w:r>
    </w:p>
    <w:p w14:paraId="72E433D7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In-house asset</w:t>
      </w:r>
      <w:r>
        <w:t xml:space="preserve"> — a loan to/investment in/lease with a related party; limited to 5% of fund assets (BRP leases are excepted).</w:t>
      </w:r>
    </w:p>
    <w:p w14:paraId="37A5BB6A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Single acquirable asset</w:t>
      </w:r>
      <w:r>
        <w:t xml:space="preserve"> — the one asset an LRBA may fund; for off-the-plan, the completed lot under a contract of sale (not an option).</w:t>
      </w:r>
    </w:p>
    <w:p w14:paraId="6C13922B" w14:textId="639746A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Arm</w:t>
      </w:r>
      <w:r>
        <w:rPr>
          <w:b/>
          <w:bCs/>
        </w:rPr>
        <w:t>s length</w:t>
      </w:r>
      <w:r>
        <w:t xml:space="preserve"> — genuine commercial terms (here, market rent paid in full and on time).</w:t>
      </w:r>
    </w:p>
    <w:p w14:paraId="45DB7275" w14:textId="0FBAB3D0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Australian superannuation fund</w:t>
      </w:r>
      <w:r>
        <w:t xml:space="preserve"> — the residency status the Fund must keep (establishment/asset, CM&amp;</w:t>
      </w:r>
      <w:r>
        <w:t>C in Australia, active-member tests).</w:t>
      </w:r>
    </w:p>
    <w:p w14:paraId="0EC2CFA5" w14:textId="77777777" w:rsidR="003057F0" w:rsidRDefault="00E26904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Sole purpose test</w:t>
      </w:r>
      <w:r>
        <w:t xml:space="preserve"> — the Fund must be maintained solely to provide retirement (and death) benefits.</w:t>
      </w:r>
    </w:p>
    <w:p w14:paraId="62A497F3" w14:textId="77777777" w:rsidR="003057F0" w:rsidRDefault="003057F0">
      <w:pPr>
        <w:pBdr>
          <w:bottom w:val="single" w:sz="6" w:space="0" w:color="DDDDDD"/>
        </w:pBdr>
        <w:spacing w:before="40" w:after="120"/>
      </w:pPr>
    </w:p>
    <w:p w14:paraId="6D45C23D" w14:textId="77777777" w:rsidR="003057F0" w:rsidRDefault="00E26904">
      <w:pPr>
        <w:spacing w:after="120"/>
      </w:pPr>
      <w:r>
        <w:rPr>
          <w:i/>
          <w:iCs/>
        </w:rPr>
        <w:t>— End of document —</w:t>
      </w:r>
    </w:p>
    <w:sectPr w:rsidR="003057F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4F8"/>
    <w:multiLevelType w:val="multilevel"/>
    <w:tmpl w:val="758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7B67"/>
    <w:multiLevelType w:val="hybridMultilevel"/>
    <w:tmpl w:val="F63CF9D8"/>
    <w:lvl w:ilvl="0" w:tplc="8BCA5F72">
      <w:start w:val="1"/>
      <w:numFmt w:val="bullet"/>
      <w:lvlText w:val="●"/>
      <w:lvlJc w:val="left"/>
      <w:pPr>
        <w:ind w:left="720" w:hanging="360"/>
      </w:pPr>
    </w:lvl>
    <w:lvl w:ilvl="1" w:tplc="178CD37E">
      <w:start w:val="1"/>
      <w:numFmt w:val="bullet"/>
      <w:lvlText w:val="○"/>
      <w:lvlJc w:val="left"/>
      <w:pPr>
        <w:ind w:left="1440" w:hanging="360"/>
      </w:pPr>
    </w:lvl>
    <w:lvl w:ilvl="2" w:tplc="0D7807FA">
      <w:start w:val="1"/>
      <w:numFmt w:val="bullet"/>
      <w:lvlText w:val="■"/>
      <w:lvlJc w:val="left"/>
      <w:pPr>
        <w:ind w:left="2160" w:hanging="360"/>
      </w:pPr>
    </w:lvl>
    <w:lvl w:ilvl="3" w:tplc="768AF5EA">
      <w:start w:val="1"/>
      <w:numFmt w:val="bullet"/>
      <w:lvlText w:val="●"/>
      <w:lvlJc w:val="left"/>
      <w:pPr>
        <w:ind w:left="2880" w:hanging="360"/>
      </w:pPr>
    </w:lvl>
    <w:lvl w:ilvl="4" w:tplc="CC44F092">
      <w:start w:val="1"/>
      <w:numFmt w:val="bullet"/>
      <w:lvlText w:val="○"/>
      <w:lvlJc w:val="left"/>
      <w:pPr>
        <w:ind w:left="3600" w:hanging="360"/>
      </w:pPr>
    </w:lvl>
    <w:lvl w:ilvl="5" w:tplc="9A2067B4">
      <w:start w:val="1"/>
      <w:numFmt w:val="bullet"/>
      <w:lvlText w:val="■"/>
      <w:lvlJc w:val="left"/>
      <w:pPr>
        <w:ind w:left="4320" w:hanging="360"/>
      </w:pPr>
    </w:lvl>
    <w:lvl w:ilvl="6" w:tplc="EF6CC28E">
      <w:start w:val="1"/>
      <w:numFmt w:val="bullet"/>
      <w:lvlText w:val="●"/>
      <w:lvlJc w:val="left"/>
      <w:pPr>
        <w:ind w:left="5040" w:hanging="360"/>
      </w:pPr>
    </w:lvl>
    <w:lvl w:ilvl="7" w:tplc="5DFAD608">
      <w:start w:val="1"/>
      <w:numFmt w:val="bullet"/>
      <w:lvlText w:val="●"/>
      <w:lvlJc w:val="left"/>
      <w:pPr>
        <w:ind w:left="5760" w:hanging="360"/>
      </w:pPr>
    </w:lvl>
    <w:lvl w:ilvl="8" w:tplc="ACCECD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9A7B90"/>
    <w:multiLevelType w:val="hybridMultilevel"/>
    <w:tmpl w:val="1B640C9E"/>
    <w:lvl w:ilvl="0" w:tplc="50DA324A">
      <w:start w:val="1"/>
      <w:numFmt w:val="bullet"/>
      <w:lvlText w:val="●"/>
      <w:lvlJc w:val="left"/>
      <w:pPr>
        <w:ind w:left="720" w:hanging="360"/>
      </w:pPr>
    </w:lvl>
    <w:lvl w:ilvl="1" w:tplc="A442FDCE">
      <w:start w:val="1"/>
      <w:numFmt w:val="bullet"/>
      <w:lvlText w:val="○"/>
      <w:lvlJc w:val="left"/>
      <w:pPr>
        <w:ind w:left="1440" w:hanging="360"/>
      </w:pPr>
    </w:lvl>
    <w:lvl w:ilvl="2" w:tplc="61C6856C">
      <w:start w:val="1"/>
      <w:numFmt w:val="bullet"/>
      <w:lvlText w:val="■"/>
      <w:lvlJc w:val="left"/>
      <w:pPr>
        <w:ind w:left="2160" w:hanging="360"/>
      </w:pPr>
    </w:lvl>
    <w:lvl w:ilvl="3" w:tplc="11A89CB4">
      <w:start w:val="1"/>
      <w:numFmt w:val="bullet"/>
      <w:lvlText w:val="●"/>
      <w:lvlJc w:val="left"/>
      <w:pPr>
        <w:ind w:left="2880" w:hanging="360"/>
      </w:pPr>
    </w:lvl>
    <w:lvl w:ilvl="4" w:tplc="3EE65A06">
      <w:start w:val="1"/>
      <w:numFmt w:val="bullet"/>
      <w:lvlText w:val="○"/>
      <w:lvlJc w:val="left"/>
      <w:pPr>
        <w:ind w:left="3600" w:hanging="360"/>
      </w:pPr>
    </w:lvl>
    <w:lvl w:ilvl="5" w:tplc="1FA09370">
      <w:start w:val="1"/>
      <w:numFmt w:val="bullet"/>
      <w:lvlText w:val="■"/>
      <w:lvlJc w:val="left"/>
      <w:pPr>
        <w:ind w:left="4320" w:hanging="360"/>
      </w:pPr>
    </w:lvl>
    <w:lvl w:ilvl="6" w:tplc="D504A9EA">
      <w:start w:val="1"/>
      <w:numFmt w:val="bullet"/>
      <w:lvlText w:val="●"/>
      <w:lvlJc w:val="left"/>
      <w:pPr>
        <w:ind w:left="5040" w:hanging="360"/>
      </w:pPr>
    </w:lvl>
    <w:lvl w:ilvl="7" w:tplc="0CF6883C">
      <w:start w:val="1"/>
      <w:numFmt w:val="bullet"/>
      <w:lvlText w:val="●"/>
      <w:lvlJc w:val="left"/>
      <w:pPr>
        <w:ind w:left="5760" w:hanging="360"/>
      </w:pPr>
    </w:lvl>
    <w:lvl w:ilvl="8" w:tplc="E9E48896">
      <w:start w:val="1"/>
      <w:numFmt w:val="bullet"/>
      <w:lvlText w:val="●"/>
      <w:lvlJc w:val="left"/>
      <w:pPr>
        <w:ind w:left="6480" w:hanging="360"/>
      </w:pPr>
    </w:lvl>
  </w:abstractNum>
  <w:num w:numId="1" w16cid:durableId="1951817586">
    <w:abstractNumId w:val="1"/>
    <w:lvlOverride w:ilvl="0">
      <w:startOverride w:val="1"/>
    </w:lvlOverride>
  </w:num>
  <w:num w:numId="2" w16cid:durableId="1964379154">
    <w:abstractNumId w:val="0"/>
  </w:num>
  <w:num w:numId="3" w16cid:durableId="3716160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7F0"/>
    <w:rsid w:val="00107BC0"/>
    <w:rsid w:val="002D4736"/>
    <w:rsid w:val="003057F0"/>
    <w:rsid w:val="005908AD"/>
    <w:rsid w:val="006D7944"/>
    <w:rsid w:val="0071555E"/>
    <w:rsid w:val="00881907"/>
    <w:rsid w:val="008E28D7"/>
    <w:rsid w:val="008F2A4A"/>
    <w:rsid w:val="009C25BB"/>
    <w:rsid w:val="00AB5BCC"/>
    <w:rsid w:val="00B76FC3"/>
    <w:rsid w:val="00CC7C24"/>
    <w:rsid w:val="00E2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3B22"/>
  <w15:docId w15:val="{F932C88A-09BF-4F29-8B3F-ED4614FB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AU" w:eastAsia="en-AU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2731</Words>
  <Characters>15570</Characters>
  <Application>Microsoft Office Word</Application>
  <DocSecurity>0</DocSecurity>
  <Lines>129</Lines>
  <Paragraphs>36</Paragraphs>
  <ScaleCrop>false</ScaleCrop>
  <Company/>
  <LinksUpToDate>false</LinksUpToDate>
  <CharactersWithSpaces>18265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Tristan Biro</cp:lastModifiedBy>
  <cp:revision>7</cp:revision>
  <cp:lastPrinted>2026-06-23T06:47:00Z</cp:lastPrinted>
  <dcterms:created xsi:type="dcterms:W3CDTF">2026-06-23T03:59:00Z</dcterms:created>
  <dcterms:modified xsi:type="dcterms:W3CDTF">2026-06-23T06:48:00Z</dcterms:modified>
</cp:coreProperties>
</file>