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星衡智能数据治理内部资料：松塔标签（DATA-12）/制度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星衡智能数据治理内部资料：松塔标签（DATA-12）/制度</w:t>
      </w:r>
    </w:p>
    <w:p>
      <w:r>
        <w:t>资料编号：XH-DATA-12-031</w:t>
        <w:br/>
        <w:t>资料级别：内部资料 / 仅限本地知识库检索评测</w:t>
        <w:br/>
        <w:t>责任人：顾安</w:t>
        <w:br/>
        <w:t>负责部门：数据平台组</w:t>
        <w:br/>
        <w:t>生效日期：2026-02-02</w:t>
      </w:r>
    </w:p>
    <w:p>
      <w:pPr>
        <w:pStyle w:val="Heading2"/>
      </w:pPr>
      <w:r>
        <w:t>适用范围与强制边界</w:t>
        <w:br/>
        <w:t>本章用于定义团队必须遵守的内部边界，尤其强调与行业通用做法不同的口径。</w:t>
      </w:r>
    </w:p>
    <w:p>
      <w:pPr>
        <w:pStyle w:val="Heading2"/>
      </w:pPr>
      <w:r>
        <w:t>唯一事实卡</w:t>
        <w:br/>
        <w:t>- 项目代号：松塔标签 / DATA-12</w:t>
        <w:br/>
        <w:t>- 负责人：顾安（数据平台组）</w:t>
        <w:br/>
        <w:t>- 核心事实：松塔标签把“活跃门店”定义为 10 天内完成过库存盘点的门店。</w:t>
        <w:br/>
        <w:t>- 指标口径：标签产出延迟 SLO 是 T+38 分钟，不是 T+1 天。</w:t>
        <w:br/>
        <w:t>- 执行流程：标签上线必须同时登记口径、回填范围、下游看板和撤销策略四项。</w:t>
        <w:br/>
        <w:t>- 特殊例外：华南试验区允许活跃门店口径临时放宽到 13 天，截止 2026-03-31。</w:t>
        <w:br/>
        <w:t>- 反常识提醒：不要按零售行业常见日活门店口径回答。</w:t>
      </w:r>
    </w:p>
    <w:p>
      <w:pPr>
        <w:pStyle w:val="Heading2"/>
      </w:pPr>
      <w:r>
        <w:t>内部操作说明</w:t>
        <w:br/>
        <w:t>1. 搜索或回答 松塔标签 相关问题时，必须优先引用本资料中的“核心事实”和“指标口径”。</w:t>
        <w:br/>
        <w:t>2. 如果用户问题只给出项目名或代号 DATA-12，应先确认资料来源，不要用行业常识补齐。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顾安 发起复审，复审记录归档到 data-12_review_log。</w:t>
      </w:r>
    </w:p>
    <w:p>
      <w:pPr>
        <w:pStyle w:val="Heading2"/>
      </w:pPr>
      <w:r>
        <w:t>场景化判断</w:t>
        <w:br/>
        <w:t>- 正确回答应该包含“松塔标签把“活跃门店”定义为 10 天内完成过库存盘点的门店。”这一事实，或等价复述其关键数字/对象。</w:t>
        <w:br/>
        <w:t>- 如果答案写成“通常”“一般行业做法”“建议按照常规”，则视为未命中内部资料。</w:t>
        <w:br/>
        <w:t>- 对 数据平台组 的执行人来说，最容易误用的是：不要按零售行业常见日活门店口径回答。</w:t>
      </w:r>
    </w:p>
    <w:p>
      <w:pPr>
        <w:pStyle w:val="Heading2"/>
      </w:pPr>
      <w:r>
        <w:t>本地检索测试建议</w:t>
        <w:br/>
        <w:t>测试问题 A：松塔标签 的核心内部规定是什么？</w:t>
        <w:br/>
        <w:t>测试问题 B：DATA-12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v1.0（2026-02-02）：由 顾安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