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安全合规技术文档第1期</w:t>
      </w:r>
    </w:p>
    <w:p>
      <w:pPr>
        <w:spacing w:line="276" w:lineRule="auto"/>
      </w:pPr>
      <w:r>
        <w:t>最小权限原则要求每个系统组件只能访问完成任务所必需的资源。</w:t>
      </w:r>
    </w:p>
    <w:p>
      <w:pPr>
        <w:spacing w:line="276" w:lineRule="auto"/>
      </w:pPr>
      <w:r>
        <w:t>漏洞响应流程应包含发现、评估、修复、验证和披露五个阶段。</w:t>
      </w:r>
    </w:p>
    <w:p>
      <w:pPr>
        <w:spacing w:line="276" w:lineRule="auto"/>
      </w:pPr>
      <w:r>
        <w:t>数据加密应覆盖传输层（TLS）和存储层（AES-256）两个维度。</w:t>
      </w:r>
    </w:p>
    <w:p>
      <w:pPr>
        <w:spacing w:line="276" w:lineRule="auto"/>
      </w:pPr>
      <w:r>
        <w:t>合规认证如 SOC 2、ISO 27001 需要持续监控而非一次性通过。</w:t>
      </w:r>
    </w:p>
    <w:p>
      <w:pPr>
        <w:spacing w:line="276" w:lineRule="auto"/>
      </w:pPr>
      <w:r>
        <w:t>安全审计日志需要包含 who、what、when、where、why 五个要素。</w:t>
      </w:r>
    </w:p>
    <w:p>
      <w:pPr>
        <w:spacing w:line="276" w:lineRule="auto"/>
      </w:pPr>
      <w:r>
        <w:t>延伸阅读：关于安全合规的更多实践案例和最佳方法，请参考团队内部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