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人工智能技术文档第10期</w:t>
      </w:r>
    </w:p>
    <w:p>
      <w:pPr>
        <w:spacing w:line="276" w:lineRule="auto"/>
      </w:pPr>
      <w:r>
        <w:t>提示工程通过上下文学习激活模型预训练知识，无需微调。</w:t>
      </w:r>
    </w:p>
    <w:p>
      <w:pPr>
        <w:spacing w:line="276" w:lineRule="auto"/>
      </w:pPr>
      <w:r>
        <w:t>检索增强生成（RAG）将外部知识库与生成模型结合，降低幻觉。</w:t>
      </w:r>
    </w:p>
    <w:p>
      <w:pPr>
        <w:spacing w:line="276" w:lineRule="auto"/>
      </w:pPr>
      <w:r>
        <w:t>强化学习从人类反馈（RLHF）使模型输出更符合人类偏好。</w:t>
      </w:r>
    </w:p>
    <w:p>
      <w:pPr>
        <w:spacing w:line="276" w:lineRule="auto"/>
      </w:pPr>
      <w:r>
        <w:t>延伸阅读：关于人工智能的更多实践案例和最佳方法，请参考团队内部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