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运营增长技术文档第14期</w:t>
      </w:r>
    </w:p>
    <w:p>
      <w:pPr>
        <w:spacing w:line="276" w:lineRule="auto"/>
      </w:pPr>
      <w:r>
        <w:t>留存分析关注 cohort 行为，识别魔法数字和流失拐点。</w:t>
      </w:r>
    </w:p>
    <w:p>
      <w:pPr>
        <w:spacing w:line="276" w:lineRule="auto"/>
      </w:pPr>
      <w:r>
        <w:t>病毒系数衡量现有用户带来新用户的效率，大于1可实现自增长。</w:t>
      </w:r>
    </w:p>
    <w:p>
      <w:pPr>
        <w:spacing w:line="276" w:lineRule="auto"/>
      </w:pPr>
      <w:r>
        <w:t>用户获取成本（CAC）与用户生命周期价值（LTV）的比值决定商业模式可持续性。</w:t>
      </w:r>
    </w:p>
    <w:p>
      <w:pPr>
        <w:spacing w:line="276" w:lineRule="auto"/>
      </w:pPr>
      <w:r>
        <w:t>北极星指标应反映产品核心价值，且能被团队日常动作影响。</w:t>
      </w:r>
    </w:p>
    <w:p>
      <w:pPr>
        <w:spacing w:line="276" w:lineRule="auto"/>
      </w:pPr>
      <w:r>
        <w:t>延伸阅读：关于运营增长的更多实践案例和最佳方法，请参考团队内部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