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安全合规技术文档第17期</w:t>
      </w:r>
    </w:p>
    <w:p>
      <w:pPr>
        <w:spacing w:line="276" w:lineRule="auto"/>
      </w:pPr>
      <w:r>
        <w:t>合规认证如 SOC 2、ISO 27001 需要持续监控而非一次性通过。</w:t>
      </w:r>
    </w:p>
    <w:p>
      <w:pPr>
        <w:spacing w:line="276" w:lineRule="auto"/>
      </w:pPr>
      <w:r>
        <w:t>漏洞响应流程应包含发现、评估、修复、验证和披露五个阶段。</w:t>
      </w:r>
    </w:p>
    <w:p>
      <w:pPr>
        <w:spacing w:line="276" w:lineRule="auto"/>
      </w:pPr>
      <w:r>
        <w:t>最小权限原则要求每个系统组件只能访问完成任务所必需的资源。</w:t>
      </w:r>
    </w:p>
    <w:p>
      <w:pPr>
        <w:spacing w:line="276" w:lineRule="auto"/>
      </w:pPr>
      <w:r>
        <w:t>延伸阅读：关于安全合规的更多实践案例和最佳方法，请参考团队内部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