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人工智能技术文档第18期</w:t>
      </w:r>
    </w:p>
    <w:p>
      <w:pPr>
        <w:spacing w:line="276" w:lineRule="auto"/>
      </w:pPr>
      <w:r>
        <w:t>大语言模型的涌现能力在参数量超过特定阈值后才会显现。</w:t>
      </w:r>
    </w:p>
    <w:p>
      <w:pPr>
        <w:spacing w:line="276" w:lineRule="auto"/>
      </w:pPr>
      <w:r>
        <w:t>多模态模型能同时处理文本、图像、音频和视频的联合表征。</w:t>
      </w:r>
    </w:p>
    <w:p>
      <w:pPr>
        <w:spacing w:line="276" w:lineRule="auto"/>
      </w:pPr>
      <w:r>
        <w:t>提示工程通过上下文学习激活模型预训练知识，无需微调。</w:t>
      </w:r>
    </w:p>
    <w:p>
      <w:pPr>
        <w:spacing w:line="276" w:lineRule="auto"/>
      </w:pPr>
      <w:r>
        <w:t>强化学习从人类反馈（RLHF）使模型输出更符合人类偏好。</w:t>
      </w:r>
    </w:p>
    <w:p>
      <w:pPr>
        <w:spacing w:line="276" w:lineRule="auto"/>
      </w:pPr>
      <w:r>
        <w:t>检索增强生成（RAG）将外部知识库与生成模型结合，降低幻觉。</w:t>
      </w:r>
    </w:p>
    <w:p>
      <w:pPr>
        <w:spacing w:line="276" w:lineRule="auto"/>
      </w:pPr>
      <w:r>
        <w:t>延伸阅读：关于人工智能的更多实践案例和最佳方法，请参考团队内部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