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技术架构技术文档第20期</w:t>
      </w:r>
    </w:p>
    <w:p>
      <w:pPr>
        <w:spacing w:line="276" w:lineRule="auto"/>
      </w:pPr>
      <w:r>
        <w:t>本系统采用分层架构设计，从下到上依次为基础设施层、数据存储层、业务逻辑层和接口表现层。</w:t>
      </w:r>
    </w:p>
    <w:p>
      <w:pPr>
        <w:spacing w:line="276" w:lineRule="auto"/>
      </w:pPr>
      <w:r>
        <w:t>基础设施层负责计算资源调度和网络通信，使用容器化技术实现弹性伸缩。</w:t>
      </w:r>
    </w:p>
    <w:p>
      <w:pPr>
        <w:spacing w:line="276" w:lineRule="auto"/>
      </w:pPr>
      <w:r>
        <w:t>业务逻辑层通过微服务拆分，每个服务独立部署、独立扩容。</w:t>
      </w:r>
    </w:p>
    <w:p>
      <w:pPr>
        <w:spacing w:line="276" w:lineRule="auto"/>
      </w:pPr>
      <w:r>
        <w:t>数据存储层采用主从复制策略，保证高可用性和读写分离。</w:t>
      </w:r>
    </w:p>
    <w:p>
      <w:pPr>
        <w:spacing w:line="276" w:lineRule="auto"/>
      </w:pPr>
      <w:r>
        <w:t>接口表现层提供 RESTful API 和 gRPC 两种协议支持。</w:t>
      </w:r>
    </w:p>
    <w:p>
      <w:pPr>
        <w:spacing w:line="276" w:lineRule="auto"/>
      </w:pPr>
      <w:r>
        <w:t>延伸阅读：关于技术架构的更多实践案例和最佳方法，请参考团队内部 wiki 和相关技术文档。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