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团队管理技术文档第23期</w:t>
      </w:r>
    </w:p>
    <w:p>
      <w:pPr>
        <w:spacing w:line="276" w:lineRule="auto"/>
      </w:pPr>
      <w:r>
        <w:t>跨团队协作应明确接口人、沟通频率和决策 escalation 路径。</w:t>
      </w:r>
    </w:p>
    <w:p>
      <w:pPr>
        <w:spacing w:line="276" w:lineRule="auto"/>
      </w:pPr>
      <w:r>
        <w:t>代码审查不仅是发现 bug，更是知识共享和团队规范统一的过程。</w:t>
      </w:r>
    </w:p>
    <w:p>
      <w:pPr>
        <w:spacing w:line="276" w:lineRule="auto"/>
      </w:pPr>
      <w:r>
        <w:t>一对一会议是管理者了解团队成员状态的最重要渠道，应提前准备议程。</w:t>
      </w:r>
    </w:p>
    <w:p>
      <w:pPr>
        <w:spacing w:line="276" w:lineRule="auto"/>
      </w:pPr>
      <w:r>
        <w:t>OKR 目标管理要求目标有挑战性、关键结果可衡量，且周期内不随意更改。</w:t>
      </w:r>
    </w:p>
    <w:p>
      <w:pPr>
        <w:spacing w:line="276" w:lineRule="auto"/>
      </w:pPr>
      <w:r>
        <w:t>技术债务需要定期偿还，建议每个迭代预留20%容量用于重构和优化。</w:t>
      </w:r>
    </w:p>
    <w:p>
      <w:pPr>
        <w:spacing w:line="276" w:lineRule="auto"/>
      </w:pPr>
      <w:r>
        <w:t>延伸阅读：关于团队管理的更多实践案例和最佳方法，请参考团队内部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