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Stellar Insight Inc. Onyx Keyring (ENS-37) Meeting Minutes</w:t>
      </w:r>
    </w:p>
    <w:p>
      <w:r>
        <w:t>[Fictional internal test material] For Memori-Vault local retrieval evaluation only; contains no real secrets.</w:t>
      </w:r>
    </w:p>
    <w:p>
      <w:r>
        <w:t>Chair: Priya Rao   Notes: Security Office</w:t>
      </w:r>
    </w:p>
    <w:p>
      <w:pPr>
        <w:pStyle w:val="Heading2"/>
      </w:pPr>
      <w:r>
        <w:t>1. Opening and off-topic</w:t>
      </w:r>
    </w:p>
    <w:p>
      <w:r>
        <w:t>Unrelated aside: the water cooler vendor changed, so the taste may differ for a while.</w:t>
      </w:r>
    </w:p>
    <w:p>
      <w:pPr>
        <w:pStyle w:val="Heading2"/>
      </w:pPr>
      <w:r>
        <w:t>2. Execution rule (key)</w:t>
      </w:r>
    </w:p>
    <w:p>
      <w:r>
        <w:t>Confirmed after discussion: Six hours before rotation a shadow verification must be completed and its record written to the si_key_shadow_audit table. This procedure is mandatory for this project, and answers must follow it.</w:t>
      </w:r>
    </w:p>
    <w:p>
      <w:r>
        <w:t>For what it's worth, the badge system upgrade routes visitors through the B-block entrance.</w:t>
      </w:r>
    </w:p>
    <w:p>
      <w:pPr>
        <w:pStyle w:val="Heading2"/>
      </w:pPr>
      <w:r>
        <w:t>3. Action items</w:t>
      </w:r>
    </w:p>
    <w:p>
      <w:pPr>
        <w:pStyle w:val="ListBullet"/>
      </w:pPr>
      <w:r>
        <w:t>Priya Rao: sync the above procedure to the Security Office wiki</w:t>
      </w:r>
    </w:p>
    <w:p>
      <w:pPr>
        <w:pStyle w:val="ListBullet"/>
      </w:pPr>
      <w:r>
        <w:t>Other: offsite budget deferred to next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