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Stellar Insight Inc. Quartz Budget (ENF-19) Meeting Minutes</w:t>
      </w:r>
    </w:p>
    <w:p>
      <w:r>
        <w:t>[Fictional internal test material] For Memori-Vault local retrieval evaluation only; contains no real secrets.</w:t>
      </w:r>
    </w:p>
    <w:p>
      <w:r>
        <w:t>Chair: Helena Ford   Notes: Finance Risk</w:t>
      </w:r>
    </w:p>
    <w:p>
      <w:pPr>
        <w:pStyle w:val="Heading2"/>
      </w:pPr>
      <w:r>
        <w:t>1. Opening and off-topic</w:t>
      </w:r>
    </w:p>
    <w:p>
      <w:r>
        <w:t>(This paragraph is background context and is unrelated to the conclusion.)</w:t>
      </w:r>
    </w:p>
    <w:p>
      <w:pPr>
        <w:pStyle w:val="Heading2"/>
      </w:pPr>
      <w:r>
        <w:t>2. Execution rule (key)</w:t>
      </w:r>
    </w:p>
    <w:p>
      <w:r>
        <w:t>Confirmed after discussion: The applicant tags the cost first and lets the system match a budget pool; verbal pre-approval from finance is not allowed. This procedure is mandatory for this project, and answers must follow it.</w:t>
      </w:r>
    </w:p>
    <w:p>
      <w:r>
        <w:t>Side note: the weekly-report template will be replaced next week, so avoid the old link.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Helena Ford: sync the above procedure to the Finance Risk wiki</w:t>
      </w:r>
    </w:p>
    <w:p>
      <w:pPr>
        <w:pStyle w:val="ListBullet"/>
      </w:pPr>
      <w:r>
        <w:t>Other: offsite budget deferred to next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