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星衡智能环境说明：测试与预发环境的使用约定</w:t>
      </w:r>
    </w:p>
    <w:p>
      <w:r>
        <w:t>相关同事如有疑问，请走对应流程提单，不在本文展开。</w:t>
      </w:r>
    </w:p>
    <w:p>
      <w:r>
        <w:t>如与具体项目制度冲突，以对应项目的正式资料为准。</w:t>
      </w:r>
    </w:p>
    <w:p>
      <w:r>
        <w:t>如与具体项目制度冲突，以对应项目的正式资料为准。</w:t>
      </w:r>
    </w:p>
    <w:p>
      <w:r>
        <w:t>如与具体项目制度冲突，以对应项目的正式资料为准。</w:t>
      </w:r>
    </w:p>
    <w:p>
      <w:r>
        <w:t>本文档定期复审，过期内容以最新版本为准。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