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星衡智能周报汇总：本周各组进展与风险同步</w:t>
      </w:r>
    </w:p>
    <w:p>
      <w:r>
        <w:t>本文为通用说明，不涉及任何具体项目的对外承诺或内部阈值。</w:t>
      </w:r>
    </w:p>
    <w:p>
      <w:r>
        <w:t>本文为通用说明，不涉及任何具体项目的对外承诺或内部阈值。</w:t>
      </w:r>
    </w:p>
    <w:p>
      <w:r>
        <w:t>以下内容仅作背景参考，请勿据此回答任何项目的事实性问题。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