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星衡智能会议室：各楼层会议室预订规则</w:t>
      </w:r>
    </w:p>
    <w:p>
      <w:r>
        <w:t>相关同事如有疑问，请走对应流程提单，不在本文展开。</w:t>
      </w:r>
    </w:p>
    <w:p>
      <w:r>
        <w:t>本文档定期复审，过期内容以最新版本为准。</w:t>
      </w:r>
    </w:p>
    <w:p>
      <w:r>
        <w:t>相关同事如有疑问，请走对应流程提单，不在本文展开。</w:t>
      </w:r>
    </w:p>
    <w:p>
      <w:r>
        <w:t>以下内容仅作背景参考，请勿据此回答任何项目的事实性问题。</w:t>
      </w:r>
    </w:p>
    <w:p>
      <w:r>
        <w:t>备注：本文提到的 CHN-110 与其它项目无关，请勿混淆，其数值均为占位示意。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