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星衡智能环境说明：测试与预发环境的使用约定</w:t>
      </w:r>
    </w:p>
    <w:p>
      <w:r>
        <w:t>如与具体项目制度冲突，以对应项目的正式资料为准。</w:t>
      </w:r>
    </w:p>
    <w:p>
      <w:r>
        <w:t>本文档定期复审，过期内容以最新版本为准。</w:t>
      </w:r>
    </w:p>
    <w:p>
      <w:r>
        <w:t>本文档定期复审，过期内容以最新版本为准。</w:t>
      </w:r>
    </w:p>
    <w:p>
      <w:r>
        <w:t>本文为通用说明，不涉及任何具体项目的对外承诺或内部阈值。</w:t>
      </w:r>
    </w:p>
    <w:p>
      <w:r>
        <w:t>如与具体项目制度冲突，以对应项目的正式资料为准。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