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星衡智能周报汇总：本周各组进展与风险同步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