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星衡智能流程说明：报销与差旅申请操作指引</w:t>
      </w:r>
    </w:p>
    <w:p>
      <w:r>
        <w:t>如与具体项目制度冲突，以对应项目的正式资料为准。</w:t>
      </w:r>
    </w:p>
    <w:p>
      <w:r>
        <w:t>以下内容仅作背景参考，请勿据此回答任何项目的事实性问题。</w:t>
      </w:r>
    </w:p>
    <w:p>
      <w:r>
        <w:t>如与具体项目制度冲突，以对应项目的正式资料为准。</w:t>
      </w:r>
    </w:p>
    <w:p>
      <w:r>
        <w:t>以下内容仅作背景参考，请勿据此回答任何项目的事实性问题。</w:t>
      </w:r>
    </w:p>
    <w:p>
      <w:r>
        <w:t>相关同事如有疑问，请走对应流程提单，不在本文展开。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