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星衡智能银杏-17（ARC-17）项目纪要</w:t>
      </w:r>
    </w:p>
    <w:p>
      <w:r>
        <w:t>【虚构内部测试资料】本文件仅用于 Memori-Vault 本地检索评测，不含真实机密。</w:t>
      </w:r>
    </w:p>
    <w:p>
      <w:r>
        <w:t>主持：苏澈　记录：平台架构组</w:t>
      </w:r>
    </w:p>
    <w:p>
      <w:pPr>
        <w:pStyle w:val="Heading2"/>
      </w:pPr>
      <w:r>
        <w:t>一、开场与跑题</w:t>
      </w:r>
    </w:p>
    <w:p>
      <w:r>
        <w:t>补充一句：周报模板下周统一换新版，注意别用旧链接。</w:t>
      </w:r>
    </w:p>
    <w:p>
      <w:pPr>
        <w:pStyle w:val="Heading2"/>
      </w:pPr>
      <w:r>
        <w:t>二、执行口径（重点）</w:t>
      </w:r>
    </w:p>
    <w:p>
      <w:r>
        <w:t>经讨论确认：发布前必须先 shadow-read，再 2.7% 灰度，最后才到 12% 灰度。该流程为本项目强制要求，后续答复以此为准。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苏澈：把上述流程同步到 平台架构组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