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星衡智能松塔标签（DATA-12）项目纪要</w:t>
      </w:r>
    </w:p>
    <w:p>
      <w:r>
        <w:t>【虚构内部测试资料】本文件仅用于 Memori-Vault 本地检索评测，不含真实机密。</w:t>
      </w:r>
    </w:p>
    <w:p>
      <w:r>
        <w:t>主持：顾安　记录：数据平台组</w:t>
      </w:r>
    </w:p>
    <w:p>
      <w:pPr>
        <w:pStyle w:val="Heading2"/>
      </w:pPr>
      <w:r>
        <w:t>一、开场与跑题</w:t>
      </w:r>
    </w:p>
    <w:p>
      <w:r>
        <w:t>另有同事反馈测试环境偶发抖动，已转运维单独跟进。</w:t>
      </w:r>
    </w:p>
    <w:p>
      <w:pPr>
        <w:pStyle w:val="Heading2"/>
      </w:pPr>
      <w:r>
        <w:t>二、执行口径（重点）</w:t>
      </w:r>
    </w:p>
    <w:p>
      <w:r>
        <w:t>经讨论确认：标签上线必须同时登记口径、回填范围、下游看板和撤销策略四项。该流程为本项目强制要求，后续答复以此为准。</w:t>
      </w:r>
    </w:p>
    <w:p>
      <w:r>
        <w:t>会上还顺带提了下季度团建的预算，未形成结论。</w:t>
      </w:r>
    </w:p>
    <w:p>
      <w:pPr>
        <w:pStyle w:val="Heading2"/>
      </w:pPr>
      <w:r>
        <w:t>三、待办</w:t>
      </w:r>
    </w:p>
    <w:p>
      <w:pPr>
        <w:pStyle w:val="ListBullet"/>
      </w:pPr>
      <w:r>
        <w:t>顾安：把上述流程同步到 数据平台组 wiki</w:t>
      </w:r>
    </w:p>
    <w:p>
      <w:pPr>
        <w:pStyle w:val="ListBullet"/>
      </w:pPr>
      <w:r>
        <w:t>其他：团建预算下次再议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