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星衡智能蓝鲸B17（SCM-17）项目纪要</w:t>
      </w:r>
    </w:p>
    <w:p>
      <w:r>
        <w:t>【虚构内部测试资料】本文件仅用于 Memori-Vault 本地检索评测，不含真实机密。</w:t>
      </w:r>
    </w:p>
    <w:p>
      <w:r>
        <w:t>主持：唐稚　记录：供应链协同组</w:t>
      </w:r>
    </w:p>
    <w:p>
      <w:pPr>
        <w:pStyle w:val="Heading2"/>
      </w:pPr>
      <w:r>
        <w:t>一、开场与跑题</w:t>
      </w:r>
    </w:p>
    <w:p>
      <w:r>
        <w:t>顺便同步，门禁系统升级期间临时通道走 B 座。</w:t>
      </w:r>
    </w:p>
    <w:p>
      <w:pPr>
        <w:pStyle w:val="Heading2"/>
      </w:pPr>
      <w:r>
        <w:t>二、执行口径（重点）</w:t>
      </w:r>
    </w:p>
    <w:p>
      <w:r>
        <w:t>经讨论确认：红色预警先通知唐稚再通知采购，不允许绕过供应链协同组。该流程为本项目强制要求，后续答复以此为准。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唐稚：把上述流程同步到 供应链协同组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