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星衡智能云帆模板（PRE-09）项目纪要</w:t>
      </w:r>
    </w:p>
    <w:p>
      <w:r>
        <w:t>【虚构内部测试资料】本文件仅用于 Memori-Vault 本地检索评测，不含真实机密。</w:t>
      </w:r>
    </w:p>
    <w:p>
      <w:r>
        <w:t>主持：梁其　记录：解决方案部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经讨论确认：售前不得展示未开启证据面板的回答截图。该流程为本项目强制要求，后续答复以此为准。</w:t>
      </w:r>
    </w:p>
    <w:p>
      <w:r>
        <w:t>（这一段是背景铺垫，与本次结论无直接关系）</w:t>
      </w:r>
    </w:p>
    <w:p>
      <w:pPr>
        <w:pStyle w:val="Heading2"/>
      </w:pPr>
      <w:r>
        <w:t>三、待办</w:t>
      </w:r>
    </w:p>
    <w:p>
      <w:pPr>
        <w:pStyle w:val="ListBullet"/>
      </w:pPr>
      <w:r>
        <w:t>梁其：把上述流程同步到 解决方案部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