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星衡智能海棠看板（BI-16）项目纪要</w:t>
      </w:r>
    </w:p>
    <w:p>
      <w:r>
        <w:t>【虚构内部测试资料】本文件仅用于 Memori-Vault 本地检索评测，不含真实机密。</w:t>
      </w:r>
    </w:p>
    <w:p>
      <w:r>
        <w:t>主持：白予墨　记录：商业分析组</w:t>
      </w:r>
    </w:p>
    <w:p>
      <w:pPr>
        <w:pStyle w:val="Heading2"/>
      </w:pPr>
      <w:r>
        <w:t>一、开场与跑题</w:t>
      </w:r>
    </w:p>
    <w:p>
      <w:r>
        <w:t>群里有人问能不能远程，这块按现有制度走，不在本议题。</w:t>
      </w:r>
    </w:p>
    <w:p>
      <w:pPr>
        <w:pStyle w:val="Heading2"/>
      </w:pPr>
      <w:r>
        <w:t>二、执行口径（重点）</w:t>
      </w:r>
    </w:p>
    <w:p>
      <w:r>
        <w:t>经讨论确认：周报必须同时展示净收入留存 NRR 和证据引用率两个指标。该流程为本项目强制要求，后续答复以此为准。</w:t>
      </w:r>
    </w:p>
    <w:p>
      <w:r>
        <w:t>插一句无关的：饮水机换了供应商，口感大家自行适应。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白予墨：把上述流程同步到 商业分析组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