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星衡智能黛山评测（MOD-23）项目纪要</w:t>
      </w:r>
    </w:p>
    <w:p>
      <w:r>
        <w:t>【虚构内部测试资料】本文件仅用于 Memori-Vault 本地检索评测，不含真实机密。</w:t>
      </w:r>
    </w:p>
    <w:p>
      <w:r>
        <w:t>主持：卢屿　记录：模型治理组</w:t>
      </w:r>
    </w:p>
    <w:p>
      <w:pPr>
        <w:pStyle w:val="Heading2"/>
      </w:pPr>
      <w:r>
        <w:t>一、开场与跑题</w:t>
      </w:r>
    </w:p>
    <w:p>
      <w:r>
        <w:t>会上还顺带提了下季度团建的预算，未形成结论。</w:t>
      </w:r>
    </w:p>
    <w:p>
      <w:pPr>
        <w:pStyle w:val="Heading2"/>
      </w:pPr>
      <w:r>
        <w:t>二、执行口径（重点）</w:t>
      </w:r>
    </w:p>
    <w:p>
      <w:r>
        <w:t>经讨论确认：每次换底模必须先跑红队套件，再跑业务回归，最后才灰度。该流程为本项目强制要求，后续答复以此为准。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卢屿：把上述流程同步到 模型治理组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