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星衡智能司南权限（RBAC-19）项目纪要</w:t>
      </w:r>
    </w:p>
    <w:p>
      <w:r>
        <w:t>【虚构内部测试资料】本文件仅用于 Memori-Vault 本地检索评测，不含真实机密。</w:t>
      </w:r>
    </w:p>
    <w:p>
      <w:r>
        <w:t>主持：易遥　记录：权限体系组</w:t>
      </w:r>
    </w:p>
    <w:p>
      <w:pPr>
        <w:pStyle w:val="Heading2"/>
      </w:pPr>
      <w:r>
        <w:t>一、开场与跑题</w:t>
      </w:r>
    </w:p>
    <w:p>
      <w:r>
        <w:t>补充一句：周报模板下周统一换新版，注意别用旧链接。</w:t>
      </w:r>
    </w:p>
    <w:p>
      <w:pPr>
        <w:pStyle w:val="Heading2"/>
      </w:pPr>
      <w:r>
        <w:t>二、执行口径（重点）</w:t>
      </w:r>
    </w:p>
    <w:p>
      <w:r>
        <w:t>经讨论确认：授权变更必须先走审批，再生效，不允许先生效后补审批。该流程为本项目强制要求，后续答复以此为准。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易遥：把上述流程同步到 权限体系组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