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星衡智能秤心成本（COST-58）项目纪要</w:t>
      </w:r>
    </w:p>
    <w:p>
      <w:r>
        <w:t>【虚构内部测试资料】本文件仅用于 Memori-Vault 本地检索评测，不含真实机密。</w:t>
      </w:r>
    </w:p>
    <w:p>
      <w:r>
        <w:t>主持：柏舟　记录：成本治理组</w:t>
      </w:r>
    </w:p>
    <w:p>
      <w:pPr>
        <w:pStyle w:val="Heading2"/>
      </w:pPr>
      <w:r>
        <w:t>一、开场与跑题</w:t>
      </w:r>
    </w:p>
    <w:p>
      <w:r>
        <w:t>另有同事反馈测试环境偶发抖动，已转运维单独跟进。</w:t>
      </w:r>
    </w:p>
    <w:p>
      <w:pPr>
        <w:pStyle w:val="Heading2"/>
      </w:pPr>
      <w:r>
        <w:t>二、执行口径（重点）</w:t>
      </w:r>
    </w:p>
    <w:p>
      <w:r>
        <w:t>经讨论确认：扩容申请必须先附容量预测，再附回收计划，最后才审批。该流程为本项目强制要求，后续答复以此为准。</w:t>
      </w:r>
    </w:p>
    <w:p>
      <w:r>
        <w:t>补充一句：周报模板下周统一换新版，注意别用旧链接。</w:t>
      </w:r>
    </w:p>
    <w:p>
      <w:pPr>
        <w:pStyle w:val="Heading2"/>
      </w:pPr>
      <w:r>
        <w:t>三、待办</w:t>
      </w:r>
    </w:p>
    <w:p>
      <w:pPr>
        <w:pStyle w:val="ListBullet"/>
      </w:pPr>
      <w:r>
        <w:t>柏舟：把上述流程同步到 成本治理组 wiki</w:t>
      </w:r>
    </w:p>
    <w:p>
      <w:pPr>
        <w:pStyle w:val="ListBullet"/>
      </w:pPr>
      <w:r>
        <w:t>其他：团建预算下次再议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