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【虚构内部测试资料】本文件仅用于 Memori-Vault 本地检索评测，不含真实机密。</w:t>
      </w:r>
    </w:p>
    <w:p>
      <w:r>
        <w:t>图1说明：晨曦项目的灰度比例固定为 6.3%。</w:t>
      </w:r>
    </w:p>
    <w:p>
      <w:r>
        <w:t>下图为晨曦项目的内部图表（关键阈值画在图里）。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