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707537" cy="832092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7537" cy="832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color w:val="c00000"/>
          <w:sz w:val="56"/>
          <w:szCs w:val="56"/>
        </w:rPr>
      </w:pPr>
      <w:r w:rsidDel="00000000" w:rsidR="00000000" w:rsidRPr="00000000">
        <w:rPr>
          <w:b w:val="1"/>
          <w:bCs w:val="1"/>
          <w:color w:val="c00000"/>
          <w:sz w:val="56"/>
          <w:szCs w:val="56"/>
          <w:rtl w:val="0"/>
        </w:rPr>
        <w:t xml:space="preserve">CAPSTONE PROJECT REPORT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color w:val="c00000"/>
          <w:sz w:val="44"/>
          <w:szCs w:val="44"/>
        </w:rPr>
      </w:pPr>
      <w:r w:rsidDel="00000000" w:rsidR="00000000" w:rsidRPr="00000000">
        <w:rPr>
          <w:b w:val="1"/>
          <w:bCs w:val="1"/>
          <w:color w:val="c00000"/>
          <w:sz w:val="44"/>
          <w:szCs w:val="44"/>
          <w:rtl w:val="0"/>
        </w:rPr>
        <w:t xml:space="preserve">Report 5 – Software Test Documentation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89" w:lineRule="auto"/>
        <w:ind w:left="2526" w:right="2171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Ho Chi Minh, October 2026 –</w:t>
      </w:r>
    </w:p>
    <w:p w:rsidR="00000000" w:rsidDel="00000000" w:rsidP="00000000" w:rsidRDefault="00000000" w:rsidRPr="00000000" w14:paraId="0000001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  <w:rtl w:val="0"/>
        </w:rPr>
        <w:t xml:space="preserve">Table of Contents</w:t>
      </w:r>
    </w:p>
    <w:sdt>
      <w:sdtPr>
        <w:id w:val="139051186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rzvv2zn0x1m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I. Record of Changes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ulhj08nqv3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II. Testing Documentation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qvdzglicjr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Scope of Testing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6vnkdcr5f0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Test Strategy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ly9uud906r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Testing Types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5rcoeupf17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Test Levels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gea3gj427i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Supporting Tools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0rj6x4yr7y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Test Plan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2h5613velm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Human Resources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8phqe309m0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Test Environment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8eryifz4w1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Test Milestones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jvaot5m9rp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Test Cases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qskriz85qn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Test Reports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rPr>
          <w:rFonts w:ascii="Calibri" w:cs="Calibri" w:eastAsia="Calibri" w:hAnsi="Calibri"/>
          <w:b w:val="1"/>
          <w:bCs w:val="1"/>
          <w:color w:val="c00000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heading=h.rzvv2zn0x1m9" w:id="0"/>
      <w:bookmarkEnd w:id="0"/>
      <w:r w:rsidDel="00000000" w:rsidR="00000000" w:rsidRPr="00000000">
        <w:rPr>
          <w:rtl w:val="0"/>
        </w:rPr>
        <w:t xml:space="preserve">I. Record of Changes</w:t>
      </w:r>
    </w:p>
    <w:tbl>
      <w:tblPr>
        <w:tblStyle w:val="Table1"/>
        <w:tblW w:w="8805.0" w:type="dxa"/>
        <w:jc w:val="left"/>
        <w:tblInd w:w="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30"/>
        <w:gridCol w:w="645"/>
        <w:gridCol w:w="1155"/>
        <w:gridCol w:w="5775"/>
        <w:tblGridChange w:id="0">
          <w:tblGrid>
            <w:gridCol w:w="1230"/>
            <w:gridCol w:w="645"/>
            <w:gridCol w:w="1155"/>
            <w:gridCol w:w="5775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A*</w:t>
              <w:br w:type="textWrapping"/>
              <w:t xml:space="preserve">M, 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 charge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Change 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2026/10/24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Project QA Team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Complete test documentation from Report5_Test Report.xlsx; define scope, strategy, plan, and pending status.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43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rtl w:val="0"/>
        </w:rPr>
        <w:t xml:space="preserve">*A - Added M - Modified D - Deleted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/>
      </w:pPr>
      <w:bookmarkStart w:colFirst="0" w:colLast="0" w:name="_heading=h.gulhj08nqv34" w:id="1"/>
      <w:bookmarkEnd w:id="1"/>
      <w:r w:rsidDel="00000000" w:rsidR="00000000" w:rsidRPr="00000000">
        <w:rPr>
          <w:rtl w:val="0"/>
        </w:rPr>
        <w:t xml:space="preserve">II. Testing Documentation</w:t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heading=h.9qvdzglicjrb" w:id="2"/>
      <w:bookmarkEnd w:id="2"/>
      <w:r w:rsidDel="00000000" w:rsidR="00000000" w:rsidRPr="00000000">
        <w:rPr>
          <w:rtl w:val="0"/>
        </w:rPr>
        <w:t xml:space="preserve">1. Scope of Testing</w:t>
      </w:r>
    </w:p>
    <w:p w:rsidR="00000000" w:rsidDel="00000000" w:rsidP="00000000" w:rsidRDefault="00000000" w:rsidRPr="00000000" w14:paraId="00000062">
      <w:pPr>
        <w:jc w:val="both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  <w:t xml:space="preserve">Scope: This plan covers the Mushroom Farm Tray Leasing System release described in Report5_Test Report.xlsx: Admin account/role management, rooms/trays/layout, rental plans and mushroom configuration, IoT/camera settings, disputes/refunds and reports; Operator order intake, monitoring, device control, cultivation, and harvest; Customer registration, booking, payment, spawn purchase, tracking, notifications, harvest, renewal, and disputes; and the listed security, performance/real-time, integrity/reliability, and compatibility requirements. Out of scope: production payment settlement, live production IoT/camera infrastructure, and any unapproved external service behavior. Validate open assumptions (session timeout, NFR thresholds, payment-after-expiry/refund, backup requirement, and security rules) against the approved SRS before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  <w:t xml:space="preserve">Test levels: Unit tests exercise individual backend/business rules; integration tests verify API, service, database, and external-service boundaries; system tests Run end-to-end workflows across Admin, Operator, and Customer modules; acceptance tests confirm approved business outcomes with the Product Owner. QA owns execution and evidence, Developers support unit/integration checks and defect fixes, and the Product Owner/BA approves acceptance criteria. Schedule dates are release-plan dependent and remain TBD.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  <w:t xml:space="preserve">Assumptions and constraints: The supplied report is the source of planned scenarios; all 237 listed cases (220 functional and 17 NFR) are Pending, not executed. Use staging/sandbox services and simulators where live providers or devices are unavailable. Production credentials/data are excluded. No numeric performance or latency targets are assumed until approved requirements provide them. Unit scenarios in Report5_Unit Test.xls are feature-derived planning cases and must be refined to implementation-level functions before sign-off.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heading=h.t6vnkdcr5f0c" w:id="3"/>
      <w:bookmarkEnd w:id="3"/>
      <w:r w:rsidDel="00000000" w:rsidR="00000000" w:rsidRPr="00000000">
        <w:rPr>
          <w:rtl w:val="0"/>
        </w:rPr>
        <w:t xml:space="preserve">2. Test Strategy</w:t>
      </w:r>
    </w:p>
    <w:p w:rsidR="00000000" w:rsidDel="00000000" w:rsidP="00000000" w:rsidRDefault="00000000" w:rsidRPr="00000000" w14:paraId="00000066">
      <w:pPr>
        <w:jc w:val="both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  <w:t xml:space="preserve">Apply risk-based testing with traceability from the feature list and test cases in the Report5_Test Report.xlsx. Validate normal, abnormal, and boundary inputs, authorization/state transitions, persistence, and external-service failures. Record the actual result, evidence, tester, date, and defect ID for each run. Completion requires all in-scope cases executed or formally waived, all critical/high defects resolved or accepted by the owner, and no unresolved requirement assumptions affecting release.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heading=h.4ly9uud906rc" w:id="4"/>
      <w:bookmarkEnd w:id="4"/>
      <w:r w:rsidDel="00000000" w:rsidR="00000000" w:rsidRPr="00000000">
        <w:rPr>
          <w:rtl w:val="0"/>
        </w:rPr>
        <w:t xml:space="preserve">2.1 Testing Types</w:t>
      </w:r>
    </w:p>
    <w:p w:rsidR="00000000" w:rsidDel="00000000" w:rsidP="00000000" w:rsidRDefault="00000000" w:rsidRPr="00000000" w14:paraId="00000068">
      <w:pPr>
        <w:jc w:val="both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  <w:t xml:space="preserve">Unit tests: verify validation, calculations, state transitions, and error handling with isolated dependencies; run the project test suite and the planned cases in Report5_Unit Test.xls. Integration tests: exercise the API/service/database and sandbox or mocked payment, email, MQTT/IoT, and camera boundaries. System/functional tests: execute the end-to-end scenarios in the report. Security, performance/reliability, and compatibility tests address the NFR cases. Acceptance testing confirms user workflows against approved requirements. A type passes only when actual behavior matches the expected result and evidence is recorded; NFR numeric thresholds must be approved before measurement.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heading=h.c5rcoeupf17g" w:id="5"/>
      <w:bookmarkEnd w:id="5"/>
      <w:r w:rsidDel="00000000" w:rsidR="00000000" w:rsidRPr="00000000">
        <w:rPr>
          <w:rtl w:val="0"/>
        </w:rPr>
        <w:t xml:space="preserve">2.2 Test Levels</w:t>
      </w:r>
    </w:p>
    <w:p w:rsidR="00000000" w:rsidDel="00000000" w:rsidP="00000000" w:rsidRDefault="00000000" w:rsidRPr="00000000" w14:paraId="0000006A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  <w:t xml:space="preserve">Execute tests at four levels: Unit (business rules and validation); Integration (API, persistence, payment, OTP, notification, and IoT/camera interfaces); System (complete Admin, Operator, and Customer workflows plus NFR scenarios); and Acceptance (business confirmation of the release scope). The mapping below identifies the primary level for each type; where a type spans levels, use the report case and risk to select the applicable level.</w:t>
      </w:r>
      <w:r w:rsidDel="00000000" w:rsidR="00000000" w:rsidRPr="00000000">
        <w:rPr>
          <w:rtl w:val="0"/>
        </w:rPr>
      </w:r>
    </w:p>
    <w:tbl>
      <w:tblPr>
        <w:tblStyle w:val="Table2"/>
        <w:tblW w:w="8985.0" w:type="dxa"/>
        <w:jc w:val="left"/>
        <w:tblInd w:w="127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3135"/>
        <w:gridCol w:w="1260"/>
        <w:gridCol w:w="1350"/>
        <w:gridCol w:w="1440"/>
        <w:gridCol w:w="1800"/>
        <w:tblGridChange w:id="0">
          <w:tblGrid>
            <w:gridCol w:w="3135"/>
            <w:gridCol w:w="1260"/>
            <w:gridCol w:w="1350"/>
            <w:gridCol w:w="1440"/>
            <w:gridCol w:w="1800"/>
          </w:tblGrid>
        </w:tblGridChange>
      </w:tblGrid>
      <w:tr>
        <w:trPr>
          <w:cantSplit w:val="1"/>
          <w:trHeight w:val="184" w:hRule="atLeast"/>
          <w:tblHeader w:val="1"/>
        </w:trPr>
        <w:tc>
          <w:tcPr>
            <w:vMerge w:val="restart"/>
            <w:shd w:fill="ffe8e1" w:val="clear"/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Type of Tests</w:t>
            </w:r>
          </w:p>
        </w:tc>
        <w:tc>
          <w:tcPr>
            <w:gridSpan w:val="4"/>
            <w:shd w:fill="ffe8e1" w:val="clear"/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Test Level</w:t>
            </w:r>
          </w:p>
        </w:tc>
      </w:tr>
      <w:tr>
        <w:trPr>
          <w:cantSplit w:val="1"/>
          <w:trHeight w:val="402" w:hRule="atLeast"/>
          <w:tblHeader w:val="1"/>
        </w:trPr>
        <w:tc>
          <w:tcPr>
            <w:vMerge w:val="continue"/>
            <w:shd w:fill="ffe8e1" w:val="clear"/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Unit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Integration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System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Acceptance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Unit testing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Integration testing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System / functional testing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Security testing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Performance / reliability testing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Compatibility testing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Acceptance testing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98">
      <w:pPr>
        <w:rPr/>
      </w:pPr>
      <w:bookmarkStart w:colFirst="0" w:colLast="0" w:name="_heading=h.144ym1176r5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heading=h.bgea3gj427i0" w:id="7"/>
      <w:bookmarkEnd w:id="7"/>
      <w:r w:rsidDel="00000000" w:rsidR="00000000" w:rsidRPr="00000000">
        <w:rPr>
          <w:rtl w:val="0"/>
        </w:rPr>
        <w:t xml:space="preserve">2.3 Supporting Tools</w:t>
      </w:r>
    </w:p>
    <w:p w:rsidR="00000000" w:rsidDel="00000000" w:rsidP="00000000" w:rsidRDefault="00000000" w:rsidRPr="00000000" w14:paraId="0000009A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  <w:t xml:space="preserve">Tools are selected for the project stack and test objectives. Record exact installed versions, environment configuration, and test data with each execution; use sandbox services or simulators for external integrations.</w:t>
      </w:r>
      <w:r w:rsidDel="00000000" w:rsidR="00000000" w:rsidRPr="00000000">
        <w:rPr>
          <w:rtl w:val="0"/>
        </w:rPr>
      </w:r>
    </w:p>
    <w:tbl>
      <w:tblPr>
        <w:tblStyle w:val="Table3"/>
        <w:tblW w:w="8981.0" w:type="dxa"/>
        <w:jc w:val="left"/>
        <w:tblInd w:w="127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3287"/>
        <w:gridCol w:w="1932"/>
        <w:gridCol w:w="1962"/>
        <w:gridCol w:w="1800"/>
        <w:tblGridChange w:id="0">
          <w:tblGrid>
            <w:gridCol w:w="3287"/>
            <w:gridCol w:w="1932"/>
            <w:gridCol w:w="1962"/>
            <w:gridCol w:w="1800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Purpose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Tool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Vendor/In-house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Version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Unit tests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Node.js built-in test runner (node --test)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In-house / Node.js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Project runtime; record the exact version.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API and integration tests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Postman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Postman Inc.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Record installed version.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Performance and load tests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Apache JMeter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Apache Software Foundation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Record installed version.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Browser compatibility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Chrome / Firefox / Edge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Google / Mozilla / Microsoft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Current supported versions at execution.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IoT, messaging and camera checks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MQTT client/simulator; Imou Cloud camera streaming via API (HLS) 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Project team / device provider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Record firmware and simulator versions.</w:t>
            </w:r>
          </w:p>
        </w:tc>
      </w:tr>
    </w:tbl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rPr/>
      </w:pPr>
      <w:bookmarkStart w:colFirst="0" w:colLast="0" w:name="_heading=h.r0rj6x4yr7y6" w:id="8"/>
      <w:bookmarkEnd w:id="8"/>
      <w:r w:rsidDel="00000000" w:rsidR="00000000" w:rsidRPr="00000000">
        <w:rPr>
          <w:rtl w:val="0"/>
        </w:rPr>
        <w:t xml:space="preserve">3. Test Plan</w:t>
      </w:r>
    </w:p>
    <w:p w:rsidR="00000000" w:rsidDel="00000000" w:rsidP="00000000" w:rsidRDefault="00000000" w:rsidRPr="00000000" w14:paraId="000000B5">
      <w:pPr>
        <w:pStyle w:val="Heading3"/>
        <w:rPr/>
      </w:pPr>
      <w:bookmarkStart w:colFirst="0" w:colLast="0" w:name="_heading=h.d2h5613velm4" w:id="9"/>
      <w:bookmarkEnd w:id="9"/>
      <w:r w:rsidDel="00000000" w:rsidR="00000000" w:rsidRPr="00000000">
        <w:rPr>
          <w:rtl w:val="0"/>
        </w:rPr>
        <w:t xml:space="preserve">3.1 Human Resources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Roles are assigned by the project lead before execution. The report does not identify individual testers, so names remain to be assigned; execution records must identify the actual tester.</w:t>
      </w:r>
    </w:p>
    <w:tbl>
      <w:tblPr>
        <w:tblStyle w:val="Table4"/>
        <w:tblW w:w="8940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5"/>
        <w:gridCol w:w="1530"/>
        <w:gridCol w:w="5595"/>
        <w:tblGridChange w:id="0">
          <w:tblGrid>
            <w:gridCol w:w="1815"/>
            <w:gridCol w:w="1530"/>
            <w:gridCol w:w="5595"/>
          </w:tblGrid>
        </w:tblGridChange>
      </w:tblGrid>
      <w:tr>
        <w:trPr>
          <w:cantSplit w:val="0"/>
          <w:trHeight w:val="264" w:hRule="atLeast"/>
          <w:tblHeader w:val="0"/>
        </w:trPr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Worker/Doer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B8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Role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Specific Responsibilities/Comments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Project QA Team (name to assign)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Test Lead / QA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Maintain traceability, prepare data, execute and record cases, triage defects, and publish test status.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Backend / frontend developers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Developer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Create and run unit/integration checks, support test setup, analyze failures, fix defects, and provide retest builds.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Product Owner / BA (name to assign)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Requirement owner / Acceptance approver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Confirm SRS assumptions and NFR thresholds, review business outcomes, accept or reject waivers, and sign off acceptance.</w:t>
            </w:r>
          </w:p>
        </w:tc>
      </w:tr>
    </w:tbl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rPr/>
      </w:pPr>
      <w:bookmarkStart w:colFirst="0" w:colLast="0" w:name="_heading=h.j8phqe309m0x" w:id="10"/>
      <w:bookmarkEnd w:id="10"/>
      <w:r w:rsidDel="00000000" w:rsidR="00000000" w:rsidRPr="00000000">
        <w:rPr>
          <w:rtl w:val="0"/>
        </w:rPr>
        <w:t xml:space="preserve">3.2 Test Environment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Use an isolated staging/test environment representative of the release. Pin and record the actual runtime, database, and tool versions at execution. Use synthetic accounts/data, sandbox payment and OTP services, and MQTT/IoT/Imou Cloud camera integration for testing when physical integrations are unavailable; do not use production credentials or customer data.</w:t>
      </w:r>
    </w:p>
    <w:tbl>
      <w:tblPr>
        <w:tblStyle w:val="Table5"/>
        <w:tblW w:w="9030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55"/>
        <w:gridCol w:w="2505"/>
        <w:gridCol w:w="2085"/>
        <w:gridCol w:w="1785"/>
        <w:tblGridChange w:id="0">
          <w:tblGrid>
            <w:gridCol w:w="2655"/>
            <w:gridCol w:w="2505"/>
            <w:gridCol w:w="2085"/>
            <w:gridCol w:w="1785"/>
          </w:tblGrid>
        </w:tblGridChange>
      </w:tblGrid>
      <w:tr>
        <w:trPr>
          <w:cantSplit w:val="0"/>
          <w:trHeight w:val="264" w:hRule="atLeast"/>
          <w:tblHeader w:val="0"/>
        </w:trPr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C6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Tool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Provider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C9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Version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Backend/API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Node.js / Express test deployment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Project team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Record deployed build and runtime versions.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Project PostgreSQL test database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Project team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Record server version and schema migration.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Payment and email OTP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PayOS; email/OTP test provider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Provider sandbox / project team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No production credentials.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IoT and camera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MQTT sensor/device simulator and Imou Cloud video streaming via API (HLS), or test device 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Project team / device provider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Record firmware, broker, and stream configuration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Client compatibility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Chrome, Firefox, and Edge; Android and iOS devices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Browser/device vendors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Current supported versions and device models</w:t>
            </w:r>
          </w:p>
        </w:tc>
      </w:tr>
    </w:tbl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rPr/>
      </w:pPr>
      <w:bookmarkStart w:colFirst="0" w:colLast="0" w:name="_heading=h.58eryifz4w1x" w:id="11"/>
      <w:bookmarkEnd w:id="11"/>
      <w:r w:rsidDel="00000000" w:rsidR="00000000" w:rsidRPr="00000000">
        <w:rPr>
          <w:rtl w:val="0"/>
        </w:rPr>
        <w:t xml:space="preserve">3.3 Test Milestones</w:t>
      </w:r>
    </w:p>
    <w:p w:rsidR="00000000" w:rsidDel="00000000" w:rsidP="00000000" w:rsidRDefault="00000000" w:rsidRPr="00000000" w14:paraId="000000E0">
      <w:pPr>
        <w:jc w:val="both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  <w:t xml:space="preserve">Milestones are ordered by dependency; calendar dates are TBD until the release schedule is approved. Exit each milestone with recorded results, defects, and outstanding assumptions.</w:t>
      </w:r>
      <w:r w:rsidDel="00000000" w:rsidR="00000000" w:rsidRPr="00000000">
        <w:rPr>
          <w:rtl w:val="0"/>
        </w:rPr>
      </w:r>
    </w:p>
    <w:tbl>
      <w:tblPr>
        <w:tblStyle w:val="Table6"/>
        <w:tblW w:w="8930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37"/>
        <w:gridCol w:w="1276"/>
        <w:gridCol w:w="1417"/>
        <w:tblGridChange w:id="0">
          <w:tblGrid>
            <w:gridCol w:w="6237"/>
            <w:gridCol w:w="1276"/>
            <w:gridCol w:w="1417"/>
          </w:tblGrid>
        </w:tblGridChange>
      </w:tblGrid>
      <w:tr>
        <w:trPr>
          <w:cantSplit w:val="0"/>
          <w:trHeight w:val="264" w:hRule="atLeast"/>
          <w:tblHeader w:val="0"/>
        </w:trPr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E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Start Date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E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End Date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Confirm requirements, open assumptions, and test environment.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Execute unit and integration tests; resolve and retest defects.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Execute system/NFR and acceptance tests; publish report and sign-off.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rPr/>
      </w:pPr>
      <w:bookmarkStart w:colFirst="0" w:colLast="0" w:name="_heading=h.vjvaot5m9rpa" w:id="12"/>
      <w:bookmarkEnd w:id="12"/>
      <w:r w:rsidDel="00000000" w:rsidR="00000000" w:rsidRPr="00000000">
        <w:rPr>
          <w:rtl w:val="0"/>
        </w:rPr>
        <w:t xml:space="preserve">4. Test Cases</w:t>
      </w:r>
    </w:p>
    <w:p w:rsidR="00000000" w:rsidDel="00000000" w:rsidP="00000000" w:rsidRDefault="00000000" w:rsidRPr="00000000" w14:paraId="000000EF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  <w:t xml:space="preserve">The source report contains 237 planned cases: 220 functional cases across Admin, Operator, and Customer features, plus 17 NFR cases. All are currently Pending; no execution result is inferred.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Test Cases: Report5_Unit Test.xls ? feature-derived planned cases with traceability to source case IDs; refine to implementation-level units before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Test Cases (Integration, System, Acceptance): Report5_Test Report.xlsx ? feature and NFR test cases, with round status/date/tester fields.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rPr/>
      </w:pPr>
      <w:bookmarkStart w:colFirst="0" w:colLast="0" w:name="_heading=h.uqskriz85qn9" w:id="13"/>
      <w:bookmarkEnd w:id="13"/>
      <w:r w:rsidDel="00000000" w:rsidR="00000000" w:rsidRPr="00000000">
        <w:rPr>
          <w:rtl w:val="0"/>
        </w:rPr>
        <w:t xml:space="preserve">5. Test Reports</w:t>
      </w:r>
    </w:p>
    <w:p w:rsidR="00000000" w:rsidDel="00000000" w:rsidP="00000000" w:rsidRDefault="00000000" w:rsidRPr="00000000" w14:paraId="000000F3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  <w:t xml:space="preserve">Execution status at document completion: 237 planned cases are Pending (220 functional, 17 NFR); Passed=0, Failed=0, Executed=0. Coverage and pass-rate statistics are therefore not yet measurable. Record results in the test workbooks after execution; review failures by severity, affected feature, root cause, and retest status. Resolve or formally accept release-blocking defects and close the open SRS assumptions before sign-off.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1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b w:val="1"/>
      <w:bCs w:val="1"/>
      <w:color w:val="c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u w:val="singl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D4C3E"/>
    <w:pPr>
      <w:keepNext w:val="1"/>
      <w:keepLines w:val="1"/>
      <w:spacing w:after="0" w:before="40"/>
      <w:outlineLvl w:val="6"/>
    </w:pPr>
    <w:rPr>
      <w:rFonts w:asciiTheme="majorHAnsi" w:cstheme="majorBidi" w:eastAsiaTheme="majorEastAsia" w:hAnsiTheme="majorHAnsi"/>
      <w:i w:val="1"/>
      <w:iCs w:val="1"/>
      <w:color w:val="1f4d78" w:themeColor="accent1" w:themeShade="00007F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C87F0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A0058F"/>
    <w:pPr>
      <w:ind w:left="720"/>
      <w:contextualSpacing w:val="1"/>
    </w:pPr>
  </w:style>
  <w:style w:type="character" w:styleId="Heading1Char" w:customStyle="1">
    <w:name w:val="Heading 1 Char"/>
    <w:basedOn w:val="DefaultParagraphFont"/>
    <w:link w:val="Heading1"/>
    <w:uiPriority w:val="9"/>
    <w:rsid w:val="00AB056F"/>
    <w:rPr>
      <w:rFonts w:asciiTheme="majorHAnsi" w:cstheme="majorBidi" w:eastAsiaTheme="majorEastAsia" w:hAnsiTheme="majorHAnsi"/>
      <w:b w:val="1"/>
      <w:color w:val="c00000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2E0C5F"/>
    <w:rPr>
      <w:rFonts w:asciiTheme="majorHAnsi" w:cstheme="majorBidi" w:eastAsiaTheme="majorEastAsia" w:hAnsiTheme="majorHAnsi"/>
      <w:b w:val="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2E0C5F"/>
    <w:rPr>
      <w:rFonts w:asciiTheme="majorHAnsi" w:cstheme="majorBidi" w:eastAsiaTheme="majorEastAsia" w:hAnsiTheme="majorHAnsi"/>
      <w:b w:val="1"/>
      <w:sz w:val="24"/>
      <w:szCs w:val="24"/>
    </w:rPr>
  </w:style>
  <w:style w:type="table" w:styleId="Kiu2" w:customStyle="1">
    <w:name w:val="Kiểu2"/>
    <w:basedOn w:val="TableNormal"/>
    <w:uiPriority w:val="99"/>
    <w:rsid w:val="00922652"/>
    <w:pPr>
      <w:spacing w:after="0" w:line="240" w:lineRule="auto"/>
    </w:pPr>
    <w:rPr>
      <w:rFonts w:ascii="Times New Roman" w:hAnsi="Times New Roman" w:eastAsiaTheme="minorEastAsia"/>
      <w:sz w:val="24"/>
      <w:lang w:eastAsia="ja-JP"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cPr>
      <w:vAlign w:val="center"/>
    </w:tcPr>
    <w:tblStylePr w:type="firstRow">
      <w:rPr>
        <w:rFonts w:ascii="Times New Roman" w:hAnsi="Times New Roman"/>
        <w:b w:val="0"/>
        <w:i w:val="0"/>
        <w:sz w:val="24"/>
        <w:u w:val="none"/>
      </w:rPr>
      <w:tblPr/>
      <w:tcPr>
        <w:shd w:color="auto" w:fill="bdd6ee" w:themeFill="accent1" w:themeFillTint="000066" w:val="clear"/>
      </w:tcPr>
    </w:tblStylePr>
  </w:style>
  <w:style w:type="character" w:styleId="Hyperlink">
    <w:name w:val="Hyperlink"/>
    <w:basedOn w:val="DefaultParagraphFont"/>
    <w:uiPriority w:val="99"/>
    <w:unhideWhenUsed w:val="1"/>
    <w:rsid w:val="00922652"/>
    <w:rPr>
      <w:color w:val="0563c1" w:themeColor="hyperlink"/>
      <w:u w:val="single"/>
    </w:rPr>
  </w:style>
  <w:style w:type="paragraph" w:styleId="bang" w:customStyle="1">
    <w:name w:val="bang"/>
    <w:basedOn w:val="Normal"/>
    <w:autoRedefine w:val="1"/>
    <w:rsid w:val="006D4C3E"/>
    <w:pPr>
      <w:autoSpaceDE w:val="0"/>
      <w:autoSpaceDN w:val="0"/>
      <w:spacing w:after="80" w:before="80" w:line="240" w:lineRule="auto"/>
    </w:pPr>
    <w:rPr>
      <w:rFonts w:ascii="Times New Roman" w:cs="Times New Roman" w:eastAsia="MS Mincho" w:hAnsi="Times New Roman"/>
      <w:sz w:val="24"/>
      <w:szCs w:val="24"/>
      <w:shd w:color="auto" w:fill="ffffff" w:val="clear"/>
      <w:lang w:eastAsia="ja-JP" w:val="en-US"/>
    </w:rPr>
  </w:style>
  <w:style w:type="paragraph" w:styleId="Bangheader" w:customStyle="1">
    <w:name w:val="Bangheader"/>
    <w:basedOn w:val="Heading7"/>
    <w:autoRedefine w:val="1"/>
    <w:rsid w:val="004174CC"/>
    <w:pPr>
      <w:keepNext w:val="0"/>
      <w:keepLines w:val="0"/>
      <w:autoSpaceDE w:val="0"/>
      <w:autoSpaceDN w:val="0"/>
      <w:spacing w:after="80" w:before="80" w:line="240" w:lineRule="auto"/>
      <w:jc w:val="center"/>
      <w:outlineLvl w:val="9"/>
    </w:pPr>
    <w:rPr>
      <w:rFonts w:ascii="Arial" w:cs="Tahoma" w:eastAsia="MS Mincho" w:hAnsi="Arial"/>
      <w:b w:val="1"/>
      <w:i w:val="0"/>
      <w:iCs w:val="0"/>
      <w:color w:val="auto"/>
      <w:sz w:val="16"/>
      <w:szCs w:val="16"/>
      <w:lang w:eastAsia="ja-JP" w:val="en-US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D4C3E"/>
    <w:rPr>
      <w:rFonts w:asciiTheme="majorHAnsi" w:cstheme="majorBidi" w:eastAsiaTheme="majorEastAsia" w:hAnsiTheme="majorHAnsi"/>
      <w:i w:val="1"/>
      <w:iCs w:val="1"/>
      <w:color w:val="1f4d78" w:themeColor="accent1" w:themeShade="00007F"/>
    </w:rPr>
  </w:style>
  <w:style w:type="character" w:styleId="Heading4Char" w:customStyle="1">
    <w:name w:val="Heading 4 Char"/>
    <w:basedOn w:val="DefaultParagraphFont"/>
    <w:link w:val="Heading4"/>
    <w:uiPriority w:val="9"/>
    <w:rsid w:val="00F26556"/>
    <w:rPr>
      <w:rFonts w:asciiTheme="majorHAnsi" w:cstheme="majorBidi" w:eastAsiaTheme="majorEastAsia" w:hAnsiTheme="majorHAnsi"/>
      <w:b w:val="1"/>
      <w:i w:val="1"/>
      <w:iCs w:val="1"/>
    </w:rPr>
  </w:style>
  <w:style w:type="character" w:styleId="Heading5Char" w:customStyle="1">
    <w:name w:val="Heading 5 Char"/>
    <w:basedOn w:val="DefaultParagraphFont"/>
    <w:link w:val="Heading5"/>
    <w:uiPriority w:val="9"/>
    <w:rsid w:val="001F1E4B"/>
    <w:rPr>
      <w:rFonts w:cs="Times New Roman (Headings CS)" w:asciiTheme="majorHAnsi" w:eastAsiaTheme="majorEastAsia" w:hAnsiTheme="majorHAnsi"/>
      <w:u w:val="single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41719F"/>
    <w:pPr>
      <w:outlineLvl w:val="9"/>
    </w:pPr>
    <w:rPr>
      <w:b w:val="0"/>
      <w:color w:val="2e74b5" w:themeColor="accent1" w:themeShade="0000BF"/>
      <w:lang w:val="en-US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41719F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41719F"/>
    <w:pPr>
      <w:spacing w:after="100"/>
      <w:ind w:left="220"/>
    </w:pPr>
  </w:style>
  <w:style w:type="paragraph" w:styleId="TOC3">
    <w:name w:val="toc 3"/>
    <w:basedOn w:val="Normal"/>
    <w:next w:val="Normal"/>
    <w:autoRedefine w:val="1"/>
    <w:uiPriority w:val="39"/>
    <w:unhideWhenUsed w:val="1"/>
    <w:rsid w:val="0041719F"/>
    <w:pPr>
      <w:spacing w:after="100"/>
      <w:ind w:left="440"/>
    </w:pPr>
  </w:style>
  <w:style w:type="paragraph" w:styleId="Bang0" w:customStyle="1">
    <w:name w:val="Bang"/>
    <w:basedOn w:val="Normal"/>
    <w:autoRedefine w:val="1"/>
    <w:rsid w:val="004F5652"/>
    <w:pPr>
      <w:spacing w:after="80" w:before="80" w:line="240" w:lineRule="auto"/>
      <w:ind w:left="43"/>
    </w:pPr>
    <w:rPr>
      <w:rFonts w:ascii="Tahoma" w:cs="Tahoma" w:eastAsia="MS Mincho" w:hAnsi="Tahoma"/>
      <w:snapToGrid w:val="0"/>
      <w:sz w:val="18"/>
      <w:szCs w:val="20"/>
      <w:lang w:val="en-US"/>
    </w:rPr>
  </w:style>
  <w:style w:type="paragraph" w:styleId="HeadingLv1" w:customStyle="1">
    <w:name w:val="Heading Lv1"/>
    <w:basedOn w:val="Normal"/>
    <w:autoRedefine w:val="1"/>
    <w:rsid w:val="00013980"/>
    <w:pPr>
      <w:widowControl w:val="0"/>
      <w:spacing w:after="0" w:before="120" w:line="240" w:lineRule="auto"/>
      <w:jc w:val="center"/>
    </w:pPr>
    <w:rPr>
      <w:rFonts w:ascii="Tahoma" w:cs="Tahoma" w:eastAsia="MS Mincho" w:hAnsi="Tahoma"/>
      <w:b w:val="1"/>
      <w:snapToGrid w:val="0"/>
      <w:color w:val="6e2500"/>
      <w:sz w:val="18"/>
      <w:szCs w:val="20"/>
      <w:lang w:val="en-US"/>
    </w:rPr>
  </w:style>
  <w:style w:type="paragraph" w:styleId="bodytext" w:customStyle="1">
    <w:name w:val="bodytext"/>
    <w:basedOn w:val="Normal"/>
    <w:autoRedefine w:val="1"/>
    <w:rsid w:val="00E90B49"/>
    <w:pPr>
      <w:spacing w:after="120" w:before="120" w:line="220" w:lineRule="atLeast"/>
      <w:ind w:left="180"/>
    </w:pPr>
    <w:rPr>
      <w:rFonts w:ascii="Tahoma" w:cs="Tahoma" w:eastAsia="MS Mincho" w:hAnsi="Tahoma"/>
      <w:b w:val="1"/>
      <w:sz w:val="18"/>
      <w:szCs w:val="24"/>
    </w:rPr>
  </w:style>
  <w:style w:type="character" w:styleId="atitle21" w:customStyle="1">
    <w:name w:val="atitle21"/>
    <w:basedOn w:val="DefaultParagraphFont"/>
    <w:rsid w:val="004F5652"/>
    <w:rPr>
      <w:rFonts w:ascii="Arial" w:cs="Arial" w:hAnsi="Arial" w:hint="default"/>
      <w:b w:val="1"/>
      <w:bCs w:val="1"/>
      <w:sz w:val="35"/>
      <w:szCs w:val="35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80.0" w:type="dxa"/>
        <w:bottom w:w="0.0" w:type="dxa"/>
        <w:right w:w="8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eU17JDTf7QtoDLWLI6e1W9jexg==">CgMxLjAyDmgucnp2djJ6bjB4MW05Mg5oLmd1bGhqMDhucXYzNDIOaC45cXZkemdsaWNqcmIyDmgudDZ2bmtkY3I1ZjBjMg5oLjRseTl1dWQ5MDZyYzIOaC5jNXJjb2V1cGYxN2cyDmguMTQ0eW0xMTc2cjVtMg5oLmJnZWEzZ2o0MjdpMDIOaC5yMHJqNng0eXI3eTYyDmguZDJoNTYxM3ZlbG00Mg5oLmo4cGhxZTMwOW0weDIOaC41OGVyeWlmejR3MXgyDmgudmp2YW90NW05cnBhMg5oLnVxc2tyaXo4NXFuOTgAciExOXhkaFJxS2EwZGo1UTUySklnYk45MXZDRHhtNm9QWT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2020-01-14T01:28:00Z</dcterms:created>
  <dc:creator>Kien Nguyen</dc:creator>
</cp:coreProperties>
</file>