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2143" w:rsidRPr="004B2143" w:rsidRDefault="004B2143" w:rsidP="0004345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de-DE"/>
        </w:rPr>
      </w:pPr>
      <w:r w:rsidRPr="004B2143">
        <w:rPr>
          <w:rFonts w:ascii="Times New Roman" w:eastAsia="Times New Roman" w:hAnsi="Times New Roman" w:cs="Times New Roman"/>
          <w:b/>
          <w:bCs/>
          <w:kern w:val="36"/>
          <w:sz w:val="48"/>
          <w:szCs w:val="48"/>
          <w:lang w:eastAsia="de-DE"/>
        </w:rPr>
        <w:fldChar w:fldCharType="begin"/>
      </w:r>
      <w:r w:rsidRPr="004B2143">
        <w:rPr>
          <w:rFonts w:ascii="Times New Roman" w:eastAsia="Times New Roman" w:hAnsi="Times New Roman" w:cs="Times New Roman"/>
          <w:b/>
          <w:bCs/>
          <w:kern w:val="36"/>
          <w:sz w:val="48"/>
          <w:szCs w:val="48"/>
          <w:lang w:val="en-US" w:eastAsia="de-DE"/>
        </w:rPr>
        <w:instrText xml:space="preserve"> HYPERLINK "http://www.informit.com/index.aspx" </w:instrText>
      </w:r>
      <w:r w:rsidRPr="004B2143">
        <w:rPr>
          <w:rFonts w:ascii="Times New Roman" w:eastAsia="Times New Roman" w:hAnsi="Times New Roman" w:cs="Times New Roman"/>
          <w:b/>
          <w:bCs/>
          <w:kern w:val="36"/>
          <w:sz w:val="48"/>
          <w:szCs w:val="48"/>
          <w:lang w:eastAsia="de-DE"/>
        </w:rPr>
        <w:fldChar w:fldCharType="separate"/>
      </w:r>
      <w:r>
        <w:rPr>
          <w:rFonts w:ascii="Times New Roman" w:eastAsia="Times New Roman" w:hAnsi="Times New Roman" w:cs="Times New Roman"/>
          <w:b/>
          <w:bCs/>
          <w:noProof/>
          <w:kern w:val="36"/>
          <w:sz w:val="48"/>
          <w:szCs w:val="48"/>
          <w:lang w:eastAsia="de-DE"/>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933575" cy="523875"/>
            <wp:effectExtent l="19050" t="0" r="9525" b="0"/>
            <wp:wrapSquare wrapText="bothSides"/>
            <wp:docPr id="2" name="Picture 2" descr="http://www.informit.com/display/InformIT/images/header/informit_printer.pn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formit.com/display/InformIT/images/header/informit_printer.png">
                      <a:hlinkClick r:id="rId4"/>
                    </pic:cNvPr>
                    <pic:cNvPicPr>
                      <a:picLocks noChangeAspect="1" noChangeArrowheads="1"/>
                    </pic:cNvPicPr>
                  </pic:nvPicPr>
                  <pic:blipFill>
                    <a:blip r:embed="rId5"/>
                    <a:srcRect/>
                    <a:stretch>
                      <a:fillRect/>
                    </a:stretch>
                  </pic:blipFill>
                  <pic:spPr bwMode="auto">
                    <a:xfrm>
                      <a:off x="0" y="0"/>
                      <a:ext cx="1933575" cy="523875"/>
                    </a:xfrm>
                    <a:prstGeom prst="rect">
                      <a:avLst/>
                    </a:prstGeom>
                    <a:noFill/>
                    <a:ln w="9525">
                      <a:noFill/>
                      <a:miter lim="800000"/>
                      <a:headEnd/>
                      <a:tailEnd/>
                    </a:ln>
                  </pic:spPr>
                </pic:pic>
              </a:graphicData>
            </a:graphic>
          </wp:anchor>
        </w:drawing>
      </w:r>
      <w:r w:rsidRPr="004B2143">
        <w:rPr>
          <w:rFonts w:ascii="Times New Roman" w:eastAsia="Times New Roman" w:hAnsi="Times New Roman" w:cs="Times New Roman"/>
          <w:b/>
          <w:bCs/>
          <w:kern w:val="36"/>
          <w:sz w:val="48"/>
          <w:szCs w:val="48"/>
          <w:lang w:eastAsia="de-DE"/>
        </w:rPr>
        <w:fldChar w:fldCharType="end"/>
      </w:r>
      <w:r w:rsidRPr="004B2143">
        <w:rPr>
          <w:rFonts w:ascii="Times New Roman" w:eastAsia="Times New Roman" w:hAnsi="Times New Roman" w:cs="Times New Roman"/>
          <w:b/>
          <w:bCs/>
          <w:kern w:val="36"/>
          <w:sz w:val="48"/>
          <w:szCs w:val="48"/>
          <w:lang w:val="en-US" w:eastAsia="de-DE"/>
        </w:rPr>
        <w:t>Software [In</w:t>
      </w:r>
      <w:proofErr w:type="gramStart"/>
      <w:r w:rsidRPr="004B2143">
        <w:rPr>
          <w:rFonts w:ascii="Times New Roman" w:eastAsia="Times New Roman" w:hAnsi="Times New Roman" w:cs="Times New Roman"/>
          <w:b/>
          <w:bCs/>
          <w:kern w:val="36"/>
          <w:sz w:val="48"/>
          <w:szCs w:val="48"/>
          <w:lang w:val="en-US" w:eastAsia="de-DE"/>
        </w:rPr>
        <w:t>]security</w:t>
      </w:r>
      <w:proofErr w:type="gramEnd"/>
      <w:r w:rsidRPr="004B2143">
        <w:rPr>
          <w:rFonts w:ascii="Times New Roman" w:eastAsia="Times New Roman" w:hAnsi="Times New Roman" w:cs="Times New Roman"/>
          <w:b/>
          <w:bCs/>
          <w:kern w:val="36"/>
          <w:sz w:val="48"/>
          <w:szCs w:val="48"/>
          <w:lang w:val="en-US" w:eastAsia="de-DE"/>
        </w:rPr>
        <w:t>: The Building Security In Maturity Model (BSIMM)</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By </w:t>
      </w:r>
      <w:hyperlink r:id="rId6" w:history="1">
        <w:r w:rsidRPr="004B2143">
          <w:rPr>
            <w:rFonts w:ascii="Times New Roman" w:eastAsia="Times New Roman" w:hAnsi="Times New Roman" w:cs="Times New Roman"/>
            <w:color w:val="0000FF"/>
            <w:sz w:val="24"/>
            <w:szCs w:val="24"/>
            <w:u w:val="single"/>
            <w:lang w:val="en-US" w:eastAsia="de-DE"/>
          </w:rPr>
          <w:t>Gary McGraw</w:t>
        </w:r>
      </w:hyperlink>
      <w:proofErr w:type="gramStart"/>
      <w:r w:rsidRPr="004B2143">
        <w:rPr>
          <w:rFonts w:ascii="Times New Roman" w:eastAsia="Times New Roman" w:hAnsi="Times New Roman" w:cs="Times New Roman"/>
          <w:sz w:val="24"/>
          <w:szCs w:val="24"/>
          <w:lang w:val="en-US" w:eastAsia="de-DE"/>
        </w:rPr>
        <w:t>,</w:t>
      </w:r>
      <w:proofErr w:type="gramEnd"/>
      <w:r w:rsidRPr="004B2143">
        <w:rPr>
          <w:rFonts w:ascii="Times New Roman" w:eastAsia="Times New Roman" w:hAnsi="Times New Roman" w:cs="Times New Roman"/>
          <w:sz w:val="24"/>
          <w:szCs w:val="24"/>
          <w:lang w:eastAsia="de-DE"/>
        </w:rPr>
        <w:fldChar w:fldCharType="begin"/>
      </w:r>
      <w:r w:rsidRPr="004B2143">
        <w:rPr>
          <w:rFonts w:ascii="Times New Roman" w:eastAsia="Times New Roman" w:hAnsi="Times New Roman" w:cs="Times New Roman"/>
          <w:sz w:val="24"/>
          <w:szCs w:val="24"/>
          <w:lang w:val="en-US" w:eastAsia="de-DE"/>
        </w:rPr>
        <w:instrText xml:space="preserve"> HYPERLINK "http://www.informit.com/authors/bio.aspx?a=7f4cde88-9c49-4136-990b-09dd62b1943c" </w:instrText>
      </w:r>
      <w:r w:rsidRPr="004B2143">
        <w:rPr>
          <w:rFonts w:ascii="Times New Roman" w:eastAsia="Times New Roman" w:hAnsi="Times New Roman" w:cs="Times New Roman"/>
          <w:sz w:val="24"/>
          <w:szCs w:val="24"/>
          <w:lang w:eastAsia="de-DE"/>
        </w:rPr>
        <w:fldChar w:fldCharType="separate"/>
      </w:r>
      <w:r w:rsidRPr="004B2143">
        <w:rPr>
          <w:rFonts w:ascii="Times New Roman" w:eastAsia="Times New Roman" w:hAnsi="Times New Roman" w:cs="Times New Roman"/>
          <w:color w:val="0000FF"/>
          <w:sz w:val="24"/>
          <w:szCs w:val="24"/>
          <w:u w:val="single"/>
          <w:lang w:val="en-US" w:eastAsia="de-DE"/>
        </w:rPr>
        <w:t>Brian Chess</w:t>
      </w:r>
      <w:r w:rsidRPr="004B2143">
        <w:rPr>
          <w:rFonts w:ascii="Times New Roman" w:eastAsia="Times New Roman" w:hAnsi="Times New Roman" w:cs="Times New Roman"/>
          <w:sz w:val="24"/>
          <w:szCs w:val="24"/>
          <w:lang w:eastAsia="de-DE"/>
        </w:rPr>
        <w:fldChar w:fldCharType="end"/>
      </w:r>
      <w:r w:rsidRPr="004B2143">
        <w:rPr>
          <w:rFonts w:ascii="Times New Roman" w:eastAsia="Times New Roman" w:hAnsi="Times New Roman" w:cs="Times New Roman"/>
          <w:sz w:val="24"/>
          <w:szCs w:val="24"/>
          <w:lang w:val="en-US" w:eastAsia="de-DE"/>
        </w:rPr>
        <w:t>,</w:t>
      </w:r>
      <w:hyperlink r:id="rId7" w:history="1">
        <w:r w:rsidRPr="004B2143">
          <w:rPr>
            <w:rFonts w:ascii="Times New Roman" w:eastAsia="Times New Roman" w:hAnsi="Times New Roman" w:cs="Times New Roman"/>
            <w:color w:val="0000FF"/>
            <w:sz w:val="24"/>
            <w:szCs w:val="24"/>
            <w:u w:val="single"/>
            <w:lang w:val="en-US" w:eastAsia="de-DE"/>
          </w:rPr>
          <w:t>Sammy Migues</w:t>
        </w:r>
      </w:hyperlink>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Date: Mar 16, 2009</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Article is provided courtesy of </w:t>
      </w:r>
      <w:hyperlink r:id="rId8" w:history="1">
        <w:r w:rsidRPr="004B2143">
          <w:rPr>
            <w:rFonts w:ascii="Times New Roman" w:eastAsia="Times New Roman" w:hAnsi="Times New Roman" w:cs="Times New Roman"/>
            <w:color w:val="0000FF"/>
            <w:sz w:val="24"/>
            <w:szCs w:val="24"/>
            <w:u w:val="single"/>
            <w:lang w:val="en-US" w:eastAsia="de-DE"/>
          </w:rPr>
          <w:t>Addison-Wesley Professional</w:t>
        </w:r>
      </w:hyperlink>
      <w:r w:rsidRPr="004B2143">
        <w:rPr>
          <w:rFonts w:ascii="Times New Roman" w:eastAsia="Times New Roman" w:hAnsi="Times New Roman" w:cs="Times New Roman"/>
          <w:sz w:val="24"/>
          <w:szCs w:val="24"/>
          <w:lang w:val="en-US" w:eastAsia="de-DE"/>
        </w:rPr>
        <w:t>.</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eastAsia="de-DE"/>
        </w:rPr>
      </w:pPr>
      <w:hyperlink r:id="rId9" w:history="1">
        <w:r w:rsidRPr="004B2143">
          <w:rPr>
            <w:rFonts w:ascii="Times New Roman" w:eastAsia="Times New Roman" w:hAnsi="Times New Roman" w:cs="Times New Roman"/>
            <w:color w:val="0000FF"/>
            <w:sz w:val="24"/>
            <w:szCs w:val="24"/>
            <w:u w:val="single"/>
            <w:lang w:eastAsia="de-DE"/>
          </w:rPr>
          <w:t>Return to the article</w:t>
        </w:r>
      </w:hyperlink>
    </w:p>
    <w:p w:rsidR="004B2143" w:rsidRPr="004B2143" w:rsidRDefault="004B2143" w:rsidP="004B2143">
      <w:pPr>
        <w:spacing w:after="0" w:line="240" w:lineRule="auto"/>
        <w:rPr>
          <w:rFonts w:ascii="Times New Roman" w:eastAsia="Times New Roman" w:hAnsi="Times New Roman" w:cs="Times New Roman"/>
          <w:sz w:val="24"/>
          <w:szCs w:val="24"/>
          <w:lang w:eastAsia="de-DE"/>
        </w:rPr>
      </w:pPr>
      <w:r w:rsidRPr="004B2143">
        <w:rPr>
          <w:rFonts w:ascii="Times New Roman" w:eastAsia="Times New Roman" w:hAnsi="Times New Roman" w:cs="Times New Roman"/>
          <w:sz w:val="24"/>
          <w:szCs w:val="24"/>
          <w:lang w:eastAsia="de-DE"/>
        </w:rPr>
        <w:pict>
          <v:rect id="_x0000_i1025" style="width:0;height:1.5pt" o:hralign="center" o:hrstd="t" o:hr="t" fillcolor="#a0a0a0" stroked="f"/>
        </w:pict>
      </w:r>
    </w:p>
    <w:p w:rsidR="004B2143" w:rsidRPr="004B2143" w:rsidRDefault="004B2143" w:rsidP="004B2143">
      <w:pPr>
        <w:spacing w:after="0"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Gary McGraw, Brian Chess, and Sammy Migues describe the genesis of the Building Security </w:t>
      </w:r>
      <w:proofErr w:type="gramStart"/>
      <w:r w:rsidRPr="004B2143">
        <w:rPr>
          <w:rFonts w:ascii="Times New Roman" w:eastAsia="Times New Roman" w:hAnsi="Times New Roman" w:cs="Times New Roman"/>
          <w:sz w:val="24"/>
          <w:szCs w:val="24"/>
          <w:lang w:val="en-US" w:eastAsia="de-DE"/>
        </w:rPr>
        <w:t>In</w:t>
      </w:r>
      <w:proofErr w:type="gramEnd"/>
      <w:r w:rsidRPr="004B2143">
        <w:rPr>
          <w:rFonts w:ascii="Times New Roman" w:eastAsia="Times New Roman" w:hAnsi="Times New Roman" w:cs="Times New Roman"/>
          <w:sz w:val="24"/>
          <w:szCs w:val="24"/>
          <w:lang w:val="en-US" w:eastAsia="de-DE"/>
        </w:rPr>
        <w:t xml:space="preserve"> Maturity Model, its foundation in real world data, and the benefits of using it as an empirical yardstick for measuring your own software security initiative.</w:t>
      </w:r>
    </w:p>
    <w:p w:rsidR="004B2143" w:rsidRPr="004B2143" w:rsidRDefault="004B2143" w:rsidP="004B2143">
      <w:pPr>
        <w:spacing w:after="0" w:line="240" w:lineRule="auto"/>
        <w:rPr>
          <w:rFonts w:ascii="Times New Roman" w:eastAsia="Times New Roman" w:hAnsi="Times New Roman" w:cs="Times New Roman"/>
          <w:sz w:val="24"/>
          <w:szCs w:val="24"/>
          <w:lang w:eastAsia="de-DE"/>
        </w:rPr>
      </w:pPr>
      <w:r w:rsidRPr="004B2143">
        <w:rPr>
          <w:rFonts w:ascii="Times New Roman" w:eastAsia="Times New Roman" w:hAnsi="Times New Roman" w:cs="Times New Roman"/>
          <w:sz w:val="24"/>
          <w:szCs w:val="24"/>
          <w:lang w:eastAsia="de-DE"/>
        </w:rPr>
        <w:pict>
          <v:rect id="_x0000_i1026" style="width:0;height:1.5pt" o:hralign="center" o:hrstd="t" o:hr="t" fillcolor="#a0a0a0" stroked="f"/>
        </w:pict>
      </w:r>
    </w:p>
    <w:p w:rsidR="004B2143" w:rsidRPr="004B2143" w:rsidRDefault="004B2143" w:rsidP="004B2143">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4B2143">
        <w:rPr>
          <w:rFonts w:ascii="Times New Roman" w:eastAsia="Times New Roman" w:hAnsi="Times New Roman" w:cs="Times New Roman"/>
          <w:b/>
          <w:bCs/>
          <w:sz w:val="36"/>
          <w:szCs w:val="36"/>
          <w:lang w:val="en-US" w:eastAsia="de-DE"/>
        </w:rPr>
        <w:t>Confessions of a Software Security Alchemist</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On March 4</w:t>
      </w:r>
      <w:r w:rsidRPr="004B2143">
        <w:rPr>
          <w:rFonts w:ascii="Times New Roman" w:eastAsia="Times New Roman" w:hAnsi="Times New Roman" w:cs="Times New Roman"/>
          <w:sz w:val="24"/>
          <w:szCs w:val="24"/>
          <w:vertAlign w:val="superscript"/>
          <w:lang w:val="en-US" w:eastAsia="de-DE"/>
        </w:rPr>
        <w:t>th</w:t>
      </w:r>
      <w:r w:rsidRPr="004B2143">
        <w:rPr>
          <w:rFonts w:ascii="Times New Roman" w:eastAsia="Times New Roman" w:hAnsi="Times New Roman" w:cs="Times New Roman"/>
          <w:sz w:val="24"/>
          <w:szCs w:val="24"/>
          <w:lang w:val="en-US" w:eastAsia="de-DE"/>
        </w:rPr>
        <w:t xml:space="preserve"> we released the </w:t>
      </w:r>
      <w:hyperlink r:id="rId10" w:history="1">
        <w:r w:rsidRPr="004B2143">
          <w:rPr>
            <w:rFonts w:ascii="Times New Roman" w:eastAsia="Times New Roman" w:hAnsi="Times New Roman" w:cs="Times New Roman"/>
            <w:color w:val="0000FF"/>
            <w:sz w:val="24"/>
            <w:szCs w:val="24"/>
            <w:u w:val="single"/>
            <w:lang w:val="en-US" w:eastAsia="de-DE"/>
          </w:rPr>
          <w:t xml:space="preserve">Building Security </w:t>
        </w:r>
        <w:proofErr w:type="gramStart"/>
        <w:r w:rsidRPr="004B2143">
          <w:rPr>
            <w:rFonts w:ascii="Times New Roman" w:eastAsia="Times New Roman" w:hAnsi="Times New Roman" w:cs="Times New Roman"/>
            <w:color w:val="0000FF"/>
            <w:sz w:val="24"/>
            <w:szCs w:val="24"/>
            <w:u w:val="single"/>
            <w:lang w:val="en-US" w:eastAsia="de-DE"/>
          </w:rPr>
          <w:t>In</w:t>
        </w:r>
        <w:proofErr w:type="gramEnd"/>
        <w:r w:rsidRPr="004B2143">
          <w:rPr>
            <w:rFonts w:ascii="Times New Roman" w:eastAsia="Times New Roman" w:hAnsi="Times New Roman" w:cs="Times New Roman"/>
            <w:color w:val="0000FF"/>
            <w:sz w:val="24"/>
            <w:szCs w:val="24"/>
            <w:u w:val="single"/>
            <w:lang w:val="en-US" w:eastAsia="de-DE"/>
          </w:rPr>
          <w:t xml:space="preserve"> Maturity Model</w:t>
        </w:r>
      </w:hyperlink>
      <w:r w:rsidRPr="004B2143">
        <w:rPr>
          <w:rFonts w:ascii="Times New Roman" w:eastAsia="Times New Roman" w:hAnsi="Times New Roman" w:cs="Times New Roman"/>
          <w:sz w:val="24"/>
          <w:szCs w:val="24"/>
          <w:lang w:val="en-US" w:eastAsia="de-DE"/>
        </w:rPr>
        <w:t xml:space="preserve"> (BSIMM) under a Creative Commons license (and slightly ahead of schedule). Those of you who follow this column know that we built the BSIMM by gathering real data from </w:t>
      </w:r>
      <w:hyperlink r:id="rId11" w:history="1">
        <w:r w:rsidRPr="004B2143">
          <w:rPr>
            <w:rFonts w:ascii="Times New Roman" w:eastAsia="Times New Roman" w:hAnsi="Times New Roman" w:cs="Times New Roman"/>
            <w:color w:val="0000FF"/>
            <w:sz w:val="24"/>
            <w:szCs w:val="24"/>
            <w:u w:val="single"/>
            <w:lang w:val="en-US" w:eastAsia="de-DE"/>
          </w:rPr>
          <w:t>nine large-scale software security initiatives</w:t>
        </w:r>
      </w:hyperlink>
      <w:r w:rsidRPr="004B2143">
        <w:rPr>
          <w:rFonts w:ascii="Times New Roman" w:eastAsia="Times New Roman" w:hAnsi="Times New Roman" w:cs="Times New Roman"/>
          <w:sz w:val="24"/>
          <w:szCs w:val="24"/>
          <w:lang w:val="en-US" w:eastAsia="de-DE"/>
        </w:rPr>
        <w:t>. Seven of the nine companies we studied graciously agreed to let us identify them: Adobe, The Depository Trust &amp; Clearing Corporation (DTCC), EMC, Google, Microsoft, QUALCOMM, and Wells Fargo. We could not have done this empirical work without the cooperation of the nine, including the "two who cannot be named."</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The BSIMM project adhered to one hard and fast scientific rule: only activities observed in the field could be added to the model. We started with a software security framework and a blank slate. As a result, BSIMM is the world's first software security yardstick based entirely on real world data and observed activities. Whether you run a software security initiative today or are charged with starting one tomorrow, you are likely to find the BSIMM incredibly useful.</w:t>
      </w:r>
    </w:p>
    <w:p w:rsidR="004B2143" w:rsidRPr="004B2143" w:rsidRDefault="004B2143" w:rsidP="004B2143">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4B2143">
        <w:rPr>
          <w:rFonts w:ascii="Times New Roman" w:eastAsia="Times New Roman" w:hAnsi="Times New Roman" w:cs="Times New Roman"/>
          <w:b/>
          <w:bCs/>
          <w:sz w:val="36"/>
          <w:szCs w:val="36"/>
          <w:lang w:eastAsia="de-DE"/>
        </w:rPr>
        <w:t>Empiricism Over Alchemy</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A handful of millennia ago — say, around 400 BCE — a number of particularly inquisitive souls spent much of their time working on alchemy. Some historians of science argue that alchemy evolved into chemistry. (The term "evolved" might be a bit of an overstatement. McGraw's dad was a chemist, and he claimed to "make potions" for a living.) Though the elusive lead-into-gold recipe remains out of reach, empirically-grounded chemistry has served the modern world well. The time has come for software security to make the same shift away from alchemy towards empiricism.</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eastAsia="de-DE"/>
        </w:rPr>
      </w:pPr>
      <w:r w:rsidRPr="004B2143">
        <w:rPr>
          <w:rFonts w:ascii="Times New Roman" w:eastAsia="Times New Roman" w:hAnsi="Times New Roman" w:cs="Times New Roman"/>
          <w:sz w:val="24"/>
          <w:szCs w:val="24"/>
          <w:lang w:val="en-US" w:eastAsia="de-DE"/>
        </w:rPr>
        <w:t xml:space="preserve">Early work in software security, including our own, concerned itself with advocacy and evangelism. We needed to convince the world that we had a serious problem. </w:t>
      </w:r>
      <w:r w:rsidRPr="004B2143">
        <w:rPr>
          <w:rFonts w:ascii="Times New Roman" w:eastAsia="Times New Roman" w:hAnsi="Times New Roman" w:cs="Times New Roman"/>
          <w:sz w:val="24"/>
          <w:szCs w:val="24"/>
          <w:lang w:eastAsia="de-DE"/>
        </w:rPr>
        <w:t>We succeeded.</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In 2006, software security found itself embodied in three major methodologies: Microsoft SDL, Cigital Touchpoints, and OWASP CLASP. Not surprisingly, these three methodologies are very much like religions — charismatic leaders, articles of faith, and some basic best practices. If you stand back and squint, the three software security religions look basically the same.</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lastRenderedPageBreak/>
        <w:t xml:space="preserve">Both early phases of software security made use of any sort of argument or "evidence" to bolster the software security message, and that was fine given the starting point. We had lots of examples, plenty of good intuition, and the best of intentions. </w:t>
      </w:r>
      <w:proofErr w:type="gramStart"/>
      <w:r w:rsidRPr="004B2143">
        <w:rPr>
          <w:rFonts w:ascii="Times New Roman" w:eastAsia="Times New Roman" w:hAnsi="Times New Roman" w:cs="Times New Roman"/>
          <w:sz w:val="24"/>
          <w:szCs w:val="24"/>
          <w:lang w:val="en-US" w:eastAsia="de-DE"/>
        </w:rPr>
        <w:t xml:space="preserve">But now the time has come to put away the </w:t>
      </w:r>
      <w:hyperlink r:id="rId12" w:history="1">
        <w:r w:rsidRPr="004B2143">
          <w:rPr>
            <w:rFonts w:ascii="Times New Roman" w:eastAsia="Times New Roman" w:hAnsi="Times New Roman" w:cs="Times New Roman"/>
            <w:color w:val="0000FF"/>
            <w:sz w:val="24"/>
            <w:szCs w:val="24"/>
            <w:u w:val="single"/>
            <w:lang w:val="en-US" w:eastAsia="de-DE"/>
          </w:rPr>
          <w:t>bug parade boogeyman</w:t>
        </w:r>
      </w:hyperlink>
      <w:r w:rsidRPr="004B2143">
        <w:rPr>
          <w:rFonts w:ascii="Times New Roman" w:eastAsia="Times New Roman" w:hAnsi="Times New Roman" w:cs="Times New Roman"/>
          <w:sz w:val="24"/>
          <w:szCs w:val="24"/>
          <w:lang w:val="en-US" w:eastAsia="de-DE"/>
        </w:rPr>
        <w:t xml:space="preserve">, the </w:t>
      </w:r>
      <w:hyperlink r:id="rId13" w:history="1">
        <w:r w:rsidRPr="004B2143">
          <w:rPr>
            <w:rFonts w:ascii="Times New Roman" w:eastAsia="Times New Roman" w:hAnsi="Times New Roman" w:cs="Times New Roman"/>
            <w:color w:val="0000FF"/>
            <w:sz w:val="24"/>
            <w:szCs w:val="24"/>
            <w:u w:val="single"/>
            <w:lang w:val="en-US" w:eastAsia="de-DE"/>
          </w:rPr>
          <w:t>top 25 tea leaves</w:t>
        </w:r>
      </w:hyperlink>
      <w:r w:rsidRPr="004B2143">
        <w:rPr>
          <w:rFonts w:ascii="Times New Roman" w:eastAsia="Times New Roman" w:hAnsi="Times New Roman" w:cs="Times New Roman"/>
          <w:sz w:val="24"/>
          <w:szCs w:val="24"/>
          <w:lang w:val="en-US" w:eastAsia="de-DE"/>
        </w:rPr>
        <w:t>, black box web app goat sacrifice, and the occult reading of pen testing entrails.</w:t>
      </w:r>
      <w:proofErr w:type="gramEnd"/>
      <w:r w:rsidRPr="004B2143">
        <w:rPr>
          <w:rFonts w:ascii="Times New Roman" w:eastAsia="Times New Roman" w:hAnsi="Times New Roman" w:cs="Times New Roman"/>
          <w:sz w:val="24"/>
          <w:szCs w:val="24"/>
          <w:lang w:val="en-US" w:eastAsia="de-DE"/>
        </w:rPr>
        <w:t xml:space="preserve"> The time for science is upon us.</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We are aware of at least 35 software security initiatives underway. We chose to study nine. Our model is based on empirical evidence and data observation. Each of the 110 activities we identified was observed in the field. The example for each activity in BSIMM is a real example. The 110 activities are not "best practices;" they are actual practices. </w:t>
      </w:r>
      <w:proofErr w:type="gramStart"/>
      <w:r w:rsidRPr="004B2143">
        <w:rPr>
          <w:rFonts w:ascii="Times New Roman" w:eastAsia="Times New Roman" w:hAnsi="Times New Roman" w:cs="Times New Roman"/>
          <w:sz w:val="24"/>
          <w:szCs w:val="24"/>
          <w:lang w:val="en-US" w:eastAsia="de-DE"/>
        </w:rPr>
        <w:t>Science.</w:t>
      </w:r>
      <w:proofErr w:type="gramEnd"/>
    </w:p>
    <w:p w:rsidR="004B2143" w:rsidRPr="004B2143" w:rsidRDefault="004B2143" w:rsidP="004B2143">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4B2143">
        <w:rPr>
          <w:rFonts w:ascii="Times New Roman" w:eastAsia="Times New Roman" w:hAnsi="Times New Roman" w:cs="Times New Roman"/>
          <w:b/>
          <w:bCs/>
          <w:sz w:val="36"/>
          <w:szCs w:val="36"/>
          <w:lang w:val="en-US" w:eastAsia="de-DE"/>
        </w:rPr>
        <w:t>BSIMM Basics</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To give you a taste of how the BSIMM is constructed, we'll dive down through the model from the highest level. We introduce the </w:t>
      </w:r>
      <w:hyperlink r:id="rId14" w:history="1">
        <w:r w:rsidRPr="004B2143">
          <w:rPr>
            <w:rFonts w:ascii="Times New Roman" w:eastAsia="Times New Roman" w:hAnsi="Times New Roman" w:cs="Times New Roman"/>
            <w:color w:val="0000FF"/>
            <w:sz w:val="24"/>
            <w:szCs w:val="24"/>
            <w:u w:val="single"/>
            <w:lang w:val="en-US" w:eastAsia="de-DE"/>
          </w:rPr>
          <w:t>Software Security Framework (SSF)</w:t>
        </w:r>
      </w:hyperlink>
      <w:r w:rsidRPr="004B2143">
        <w:rPr>
          <w:rFonts w:ascii="Times New Roman" w:eastAsia="Times New Roman" w:hAnsi="Times New Roman" w:cs="Times New Roman"/>
          <w:sz w:val="24"/>
          <w:szCs w:val="24"/>
          <w:lang w:val="en-US" w:eastAsia="de-DE"/>
        </w:rPr>
        <w:t xml:space="preserve"> in an informIT article where you can read more.</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Incidentally, judicious use of the BSIMM requires careful use of the SSF to structure the data-gathering interview. Simply waltzing down the list of 110 activities and asking, "do you do such and so?" is not an appropriate data-gathering mode. In our early work applying the BSIMM, we have already noticed a "Soviet revisionist history" problem with self-reporting that we will need to account for as the model evolves. "Hey, that's a good idea!" becomes "Didn't we try that once?" becomes "We've totally been doing that forever." One way to avoid hyperbolic reporting issues is to structure the interview properly by discussing all of an organization's SSG activities in context, and then measuring the knowledge gained with the BSIMM yardstick. Another is to have the interview carried out by an experienced BSIMM interviewer.</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eastAsia="de-DE"/>
        </w:rPr>
      </w:pPr>
      <w:r w:rsidRPr="004B2143">
        <w:rPr>
          <w:rFonts w:ascii="Times New Roman" w:eastAsia="Times New Roman" w:hAnsi="Times New Roman" w:cs="Times New Roman"/>
          <w:sz w:val="24"/>
          <w:szCs w:val="24"/>
          <w:lang w:eastAsia="de-DE"/>
        </w:rPr>
        <w:t>Here is the SSF:</w:t>
      </w:r>
    </w:p>
    <w:p w:rsidR="004B2143" w:rsidRPr="004B2143" w:rsidRDefault="004B2143" w:rsidP="004B2143">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5760720" cy="256829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5760720" cy="2568298"/>
                    </a:xfrm>
                    <a:prstGeom prst="rect">
                      <a:avLst/>
                    </a:prstGeom>
                    <a:noFill/>
                    <a:ln w="9525">
                      <a:noFill/>
                      <a:miter lim="800000"/>
                      <a:headEnd/>
                      <a:tailEnd/>
                    </a:ln>
                  </pic:spPr>
                </pic:pic>
              </a:graphicData>
            </a:graphic>
          </wp:inline>
        </w:drawing>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hyperlink r:id="rId16" w:history="1">
        <w:proofErr w:type="gramStart"/>
        <w:r w:rsidRPr="004B2143">
          <w:rPr>
            <w:rFonts w:ascii="Times New Roman" w:eastAsia="Times New Roman" w:hAnsi="Times New Roman" w:cs="Times New Roman"/>
            <w:color w:val="0000FF"/>
            <w:sz w:val="24"/>
            <w:szCs w:val="24"/>
            <w:u w:val="single"/>
            <w:lang w:val="en-US" w:eastAsia="de-DE"/>
          </w:rPr>
          <w:t>Figure 1.</w:t>
        </w:r>
        <w:proofErr w:type="gramEnd"/>
      </w:hyperlink>
      <w:r w:rsidRPr="004B2143">
        <w:rPr>
          <w:rFonts w:ascii="Times New Roman" w:eastAsia="Times New Roman" w:hAnsi="Times New Roman" w:cs="Times New Roman"/>
          <w:sz w:val="24"/>
          <w:szCs w:val="24"/>
          <w:lang w:val="en-US" w:eastAsia="de-DE"/>
        </w:rPr>
        <w:t xml:space="preserve"> </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Each of the twelve practices in the SSF has an associated set of activities described in the BSIMM. There are 110 activities. The BSIMM document provides a description of each activity, including </w:t>
      </w:r>
      <w:r w:rsidRPr="004B2143">
        <w:rPr>
          <w:rFonts w:ascii="Times New Roman" w:eastAsia="Times New Roman" w:hAnsi="Times New Roman" w:cs="Times New Roman"/>
          <w:i/>
          <w:iCs/>
          <w:sz w:val="24"/>
          <w:szCs w:val="24"/>
          <w:lang w:val="en-US" w:eastAsia="de-DE"/>
        </w:rPr>
        <w:t>real examples</w:t>
      </w:r>
      <w:r w:rsidRPr="004B2143">
        <w:rPr>
          <w:rFonts w:ascii="Times New Roman" w:eastAsia="Times New Roman" w:hAnsi="Times New Roman" w:cs="Times New Roman"/>
          <w:sz w:val="24"/>
          <w:szCs w:val="24"/>
          <w:lang w:val="en-US" w:eastAsia="de-DE"/>
        </w:rPr>
        <w:t xml:space="preserve"> of each activity as observed among the nine. Special note: all 110 activities are actually at work somewhere (even though we don't expect all 110 to be employed in any single organization)!</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The BSIMM website also has an </w:t>
      </w:r>
      <w:hyperlink r:id="rId17" w:history="1">
        <w:r w:rsidRPr="004B2143">
          <w:rPr>
            <w:rFonts w:ascii="Times New Roman" w:eastAsia="Times New Roman" w:hAnsi="Times New Roman" w:cs="Times New Roman"/>
            <w:color w:val="0000FF"/>
            <w:sz w:val="24"/>
            <w:szCs w:val="24"/>
            <w:u w:val="single"/>
            <w:lang w:val="en-US" w:eastAsia="de-DE"/>
          </w:rPr>
          <w:t>interactive SSF</w:t>
        </w:r>
      </w:hyperlink>
      <w:r w:rsidRPr="004B2143">
        <w:rPr>
          <w:rFonts w:ascii="Times New Roman" w:eastAsia="Times New Roman" w:hAnsi="Times New Roman" w:cs="Times New Roman"/>
          <w:sz w:val="24"/>
          <w:szCs w:val="24"/>
          <w:lang w:val="en-US" w:eastAsia="de-DE"/>
        </w:rPr>
        <w:t>. You can explore the practices and the activities by clicking around.</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lastRenderedPageBreak/>
        <w:t xml:space="preserve">To make this especially clear, we did NOT observe all 110 activities in all of the nine. In fact, </w:t>
      </w:r>
      <w:hyperlink r:id="rId18" w:history="1">
        <w:r w:rsidRPr="004B2143">
          <w:rPr>
            <w:rFonts w:ascii="Times New Roman" w:eastAsia="Times New Roman" w:hAnsi="Times New Roman" w:cs="Times New Roman"/>
            <w:color w:val="0000FF"/>
            <w:sz w:val="24"/>
            <w:szCs w:val="24"/>
            <w:u w:val="single"/>
            <w:lang w:val="en-US" w:eastAsia="de-DE"/>
          </w:rPr>
          <w:t>only ten activities were observed in all nine initiatives</w:t>
        </w:r>
      </w:hyperlink>
      <w:r w:rsidRPr="004B2143">
        <w:rPr>
          <w:rFonts w:ascii="Times New Roman" w:eastAsia="Times New Roman" w:hAnsi="Times New Roman" w:cs="Times New Roman"/>
          <w:sz w:val="24"/>
          <w:szCs w:val="24"/>
          <w:lang w:val="en-US" w:eastAsia="de-DE"/>
        </w:rPr>
        <w:t>. However, we DID observe each of the 110 activities in at least one of the nine (and in most cases, more than one). In that sense, even though we stuck to our data-driven guns, the BSIMM is an inclusive model.</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For each of the twelve practices, we have constructed a "skeleton" view of the activities divided into three levels. As an example, the skeleton for the </w:t>
      </w:r>
      <w:r w:rsidRPr="004B2143">
        <w:rPr>
          <w:rFonts w:ascii="Times New Roman" w:eastAsia="Times New Roman" w:hAnsi="Times New Roman" w:cs="Times New Roman"/>
          <w:i/>
          <w:iCs/>
          <w:sz w:val="24"/>
          <w:szCs w:val="24"/>
          <w:lang w:val="en-US" w:eastAsia="de-DE"/>
        </w:rPr>
        <w:t>Training</w:t>
      </w:r>
      <w:r w:rsidRPr="004B2143">
        <w:rPr>
          <w:rFonts w:ascii="Times New Roman" w:eastAsia="Times New Roman" w:hAnsi="Times New Roman" w:cs="Times New Roman"/>
          <w:sz w:val="24"/>
          <w:szCs w:val="24"/>
          <w:lang w:val="en-US" w:eastAsia="de-DE"/>
        </w:rPr>
        <w:t xml:space="preserve"> practice is shown below:</w:t>
      </w:r>
    </w:p>
    <w:p w:rsidR="004B2143" w:rsidRPr="004B2143" w:rsidRDefault="004B2143" w:rsidP="004B2143">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6645910" cy="3576751"/>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6645910" cy="3576751"/>
                    </a:xfrm>
                    <a:prstGeom prst="rect">
                      <a:avLst/>
                    </a:prstGeom>
                    <a:noFill/>
                    <a:ln w="9525">
                      <a:noFill/>
                      <a:miter lim="800000"/>
                      <a:headEnd/>
                      <a:tailEnd/>
                    </a:ln>
                  </pic:spPr>
                </pic:pic>
              </a:graphicData>
            </a:graphic>
          </wp:inline>
        </w:drawing>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hyperlink r:id="rId20" w:history="1">
        <w:proofErr w:type="gramStart"/>
        <w:r w:rsidRPr="004B2143">
          <w:rPr>
            <w:rFonts w:ascii="Times New Roman" w:eastAsia="Times New Roman" w:hAnsi="Times New Roman" w:cs="Times New Roman"/>
            <w:color w:val="0000FF"/>
            <w:sz w:val="24"/>
            <w:szCs w:val="24"/>
            <w:u w:val="single"/>
            <w:lang w:val="en-US" w:eastAsia="de-DE"/>
          </w:rPr>
          <w:t>Figure 2.</w:t>
        </w:r>
        <w:proofErr w:type="gramEnd"/>
      </w:hyperlink>
      <w:r w:rsidRPr="004B2143">
        <w:rPr>
          <w:rFonts w:ascii="Times New Roman" w:eastAsia="Times New Roman" w:hAnsi="Times New Roman" w:cs="Times New Roman"/>
          <w:sz w:val="24"/>
          <w:szCs w:val="24"/>
          <w:lang w:val="en-US" w:eastAsia="de-DE"/>
        </w:rPr>
        <w:t xml:space="preserve"> </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As you can see, there are eleven activities under the </w:t>
      </w:r>
      <w:r w:rsidRPr="004B2143">
        <w:rPr>
          <w:rFonts w:ascii="Times New Roman" w:eastAsia="Times New Roman" w:hAnsi="Times New Roman" w:cs="Times New Roman"/>
          <w:i/>
          <w:iCs/>
          <w:sz w:val="24"/>
          <w:szCs w:val="24"/>
          <w:lang w:val="en-US" w:eastAsia="de-DE"/>
        </w:rPr>
        <w:t>Training</w:t>
      </w:r>
      <w:r w:rsidRPr="004B2143">
        <w:rPr>
          <w:rFonts w:ascii="Times New Roman" w:eastAsia="Times New Roman" w:hAnsi="Times New Roman" w:cs="Times New Roman"/>
          <w:sz w:val="24"/>
          <w:szCs w:val="24"/>
          <w:lang w:val="en-US" w:eastAsia="de-DE"/>
        </w:rPr>
        <w:t xml:space="preserve"> practice divided into three levels. Levels roughly correspond to maturity in that practice. Regarding levels, it is not necessary to carry out all activities in level 1 before moving on to level 2 or level 3 activities; however, the BSIMM levels correspond to a logical progression from "straightforward" to "advanced." </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In the body of the BSIMM (and on the website) is a paragraph describing each </w:t>
      </w:r>
      <w:proofErr w:type="gramStart"/>
      <w:r w:rsidRPr="004B2143">
        <w:rPr>
          <w:rFonts w:ascii="Times New Roman" w:eastAsia="Times New Roman" w:hAnsi="Times New Roman" w:cs="Times New Roman"/>
          <w:sz w:val="24"/>
          <w:szCs w:val="24"/>
          <w:lang w:val="en-US" w:eastAsia="de-DE"/>
        </w:rPr>
        <w:t>activity.</w:t>
      </w:r>
      <w:proofErr w:type="gramEnd"/>
      <w:r w:rsidRPr="004B2143">
        <w:rPr>
          <w:rFonts w:ascii="Times New Roman" w:eastAsia="Times New Roman" w:hAnsi="Times New Roman" w:cs="Times New Roman"/>
          <w:sz w:val="24"/>
          <w:szCs w:val="24"/>
          <w:lang w:val="en-US" w:eastAsia="de-DE"/>
        </w:rPr>
        <w:t xml:space="preserve"> Here is an example of the description for Activity T1.3:</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b/>
          <w:bCs/>
          <w:sz w:val="24"/>
          <w:szCs w:val="24"/>
          <w:lang w:val="en-US" w:eastAsia="de-DE"/>
        </w:rPr>
        <w:t>[T1.3] Establish SSG office hours.</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The SSG offers help to any and all comers during an advertised lab period or regularly scheduled office hours. By acting as an informal resource for people who want to solve security problems, the SSG leverages teachable moments and emphasizes the carrot over the stick. Office hours might be held one afternoon per week in the office of a senior SSG member.</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On page 49 of the BSIMM model, we report the </w:t>
      </w:r>
      <w:proofErr w:type="gramStart"/>
      <w:r w:rsidRPr="004B2143">
        <w:rPr>
          <w:rFonts w:ascii="Times New Roman" w:eastAsia="Times New Roman" w:hAnsi="Times New Roman" w:cs="Times New Roman"/>
          <w:sz w:val="24"/>
          <w:szCs w:val="24"/>
          <w:lang w:val="en-US" w:eastAsia="de-DE"/>
        </w:rPr>
        <w:t>number of times each of the 110 activities were</w:t>
      </w:r>
      <w:proofErr w:type="gramEnd"/>
      <w:r w:rsidRPr="004B2143">
        <w:rPr>
          <w:rFonts w:ascii="Times New Roman" w:eastAsia="Times New Roman" w:hAnsi="Times New Roman" w:cs="Times New Roman"/>
          <w:sz w:val="24"/>
          <w:szCs w:val="24"/>
          <w:lang w:val="en-US" w:eastAsia="de-DE"/>
        </w:rPr>
        <w:t xml:space="preserve"> observed in the field among the nine. By referring to that chart, we can note that five of the organizations we studied perform this activity.</w:t>
      </w:r>
    </w:p>
    <w:p w:rsidR="004B2143" w:rsidRPr="004B2143" w:rsidRDefault="004B2143" w:rsidP="004B2143">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4B2143">
        <w:rPr>
          <w:rFonts w:ascii="Times New Roman" w:eastAsia="Times New Roman" w:hAnsi="Times New Roman" w:cs="Times New Roman"/>
          <w:b/>
          <w:bCs/>
          <w:sz w:val="36"/>
          <w:szCs w:val="36"/>
          <w:lang w:val="en-US" w:eastAsia="de-DE"/>
        </w:rPr>
        <w:t xml:space="preserve">Software Security 2.0 — </w:t>
      </w:r>
      <w:proofErr w:type="gramStart"/>
      <w:r w:rsidRPr="004B2143">
        <w:rPr>
          <w:rFonts w:ascii="Times New Roman" w:eastAsia="Times New Roman" w:hAnsi="Times New Roman" w:cs="Times New Roman"/>
          <w:b/>
          <w:bCs/>
          <w:sz w:val="36"/>
          <w:szCs w:val="36"/>
          <w:lang w:val="en-US" w:eastAsia="de-DE"/>
        </w:rPr>
        <w:t>An</w:t>
      </w:r>
      <w:proofErr w:type="gramEnd"/>
      <w:r w:rsidRPr="004B2143">
        <w:rPr>
          <w:rFonts w:ascii="Times New Roman" w:eastAsia="Times New Roman" w:hAnsi="Times New Roman" w:cs="Times New Roman"/>
          <w:b/>
          <w:bCs/>
          <w:sz w:val="36"/>
          <w:szCs w:val="36"/>
          <w:lang w:val="en-US" w:eastAsia="de-DE"/>
        </w:rPr>
        <w:t xml:space="preserve"> Empirical Yardstick</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The most obvious way to use the BSIMM is as a yardstick for measuring your own software security initiative. You can do this by noting which of the activities you routinely carry out and which you don't, and </w:t>
      </w:r>
      <w:r w:rsidRPr="004B2143">
        <w:rPr>
          <w:rFonts w:ascii="Times New Roman" w:eastAsia="Times New Roman" w:hAnsi="Times New Roman" w:cs="Times New Roman"/>
          <w:sz w:val="24"/>
          <w:szCs w:val="24"/>
          <w:lang w:val="en-US" w:eastAsia="de-DE"/>
        </w:rPr>
        <w:lastRenderedPageBreak/>
        <w:t>then thinking about the level of maturity attained by your organization as evidenced by the level of the activities you carry out.</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We are collecting a set of data that is growing over time with a 110-bit activity vector for each organization. Using these data, it is possible to determine where you stand and how what you are doing compared to others.</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In the BSIMM we released two analyses that are useful for this comparison. The first is the average over the nine, which shows a "high water mark" maturity level for each of the twelve practices averaged over the nine. That is, if a level three </w:t>
      </w:r>
      <w:proofErr w:type="gramStart"/>
      <w:r w:rsidRPr="004B2143">
        <w:rPr>
          <w:rFonts w:ascii="Times New Roman" w:eastAsia="Times New Roman" w:hAnsi="Times New Roman" w:cs="Times New Roman"/>
          <w:sz w:val="24"/>
          <w:szCs w:val="24"/>
          <w:lang w:val="en-US" w:eastAsia="de-DE"/>
        </w:rPr>
        <w:t>activity</w:t>
      </w:r>
      <w:proofErr w:type="gramEnd"/>
      <w:r w:rsidRPr="004B2143">
        <w:rPr>
          <w:rFonts w:ascii="Times New Roman" w:eastAsia="Times New Roman" w:hAnsi="Times New Roman" w:cs="Times New Roman"/>
          <w:sz w:val="24"/>
          <w:szCs w:val="24"/>
          <w:lang w:val="en-US" w:eastAsia="de-DE"/>
        </w:rPr>
        <w:t xml:space="preserve"> was observed in a practice that practice is noted as a three regardless of the number of activities in levels one and two. We sliced the data many ways, and the high-water mark turned out to be both useful and easy to calculate.</w:t>
      </w:r>
    </w:p>
    <w:p w:rsidR="004B2143" w:rsidRPr="004B2143" w:rsidRDefault="004B2143" w:rsidP="004B2143">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6645910" cy="3980485"/>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6645910" cy="3980485"/>
                    </a:xfrm>
                    <a:prstGeom prst="rect">
                      <a:avLst/>
                    </a:prstGeom>
                    <a:noFill/>
                    <a:ln w="9525">
                      <a:noFill/>
                      <a:miter lim="800000"/>
                      <a:headEnd/>
                      <a:tailEnd/>
                    </a:ln>
                  </pic:spPr>
                </pic:pic>
              </a:graphicData>
            </a:graphic>
          </wp:inline>
        </w:drawing>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hyperlink r:id="rId22" w:history="1">
        <w:proofErr w:type="gramStart"/>
        <w:r w:rsidRPr="004B2143">
          <w:rPr>
            <w:rFonts w:ascii="Times New Roman" w:eastAsia="Times New Roman" w:hAnsi="Times New Roman" w:cs="Times New Roman"/>
            <w:color w:val="0000FF"/>
            <w:sz w:val="24"/>
            <w:szCs w:val="24"/>
            <w:u w:val="single"/>
            <w:lang w:val="en-US" w:eastAsia="de-DE"/>
          </w:rPr>
          <w:t>Figure 3.</w:t>
        </w:r>
        <w:proofErr w:type="gramEnd"/>
      </w:hyperlink>
      <w:r w:rsidRPr="004B2143">
        <w:rPr>
          <w:rFonts w:ascii="Times New Roman" w:eastAsia="Times New Roman" w:hAnsi="Times New Roman" w:cs="Times New Roman"/>
          <w:sz w:val="24"/>
          <w:szCs w:val="24"/>
          <w:lang w:val="en-US" w:eastAsia="de-DE"/>
        </w:rPr>
        <w:t xml:space="preserve"> </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By computing your own high water mark score and laying it over the graph above, you can quickly determine where you may be ahead of the game and where you may be behind. This information becomes valuable when you switch from yardstick-mode to software security initiative planning-mode, adopting some of the BSIMM activities based on your local goals, your assessment of software security risks, and your organization's culture.</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A deeper analysis is also possible and is shown here (special note, the client data are FAKE):</w:t>
      </w:r>
    </w:p>
    <w:p w:rsidR="004B2143" w:rsidRPr="004B2143" w:rsidRDefault="004B2143" w:rsidP="004B2143">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extent cx="6645910" cy="6664168"/>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6645910" cy="6664168"/>
                    </a:xfrm>
                    <a:prstGeom prst="rect">
                      <a:avLst/>
                    </a:prstGeom>
                    <a:noFill/>
                    <a:ln w="9525">
                      <a:noFill/>
                      <a:miter lim="800000"/>
                      <a:headEnd/>
                      <a:tailEnd/>
                    </a:ln>
                  </pic:spPr>
                </pic:pic>
              </a:graphicData>
            </a:graphic>
          </wp:inline>
        </w:drawing>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hyperlink r:id="rId24" w:history="1">
        <w:proofErr w:type="gramStart"/>
        <w:r w:rsidRPr="004B2143">
          <w:rPr>
            <w:rFonts w:ascii="Times New Roman" w:eastAsia="Times New Roman" w:hAnsi="Times New Roman" w:cs="Times New Roman"/>
            <w:color w:val="0000FF"/>
            <w:sz w:val="24"/>
            <w:szCs w:val="24"/>
            <w:u w:val="single"/>
            <w:lang w:val="en-US" w:eastAsia="de-DE"/>
          </w:rPr>
          <w:t>Figure 4.</w:t>
        </w:r>
        <w:proofErr w:type="gramEnd"/>
      </w:hyperlink>
      <w:r w:rsidRPr="004B2143">
        <w:rPr>
          <w:rFonts w:ascii="Times New Roman" w:eastAsia="Times New Roman" w:hAnsi="Times New Roman" w:cs="Times New Roman"/>
          <w:sz w:val="24"/>
          <w:szCs w:val="24"/>
          <w:lang w:val="en-US" w:eastAsia="de-DE"/>
        </w:rPr>
        <w:t xml:space="preserve"> </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The table above is organized to roughly mirror the SSF. The SUM column shows how many of the nine performed each activity (from BSIMM page 49). Those activities where the organization carries out one of the </w:t>
      </w:r>
      <w:hyperlink r:id="rId25" w:history="1">
        <w:r w:rsidRPr="004B2143">
          <w:rPr>
            <w:rFonts w:ascii="Times New Roman" w:eastAsia="Times New Roman" w:hAnsi="Times New Roman" w:cs="Times New Roman"/>
            <w:color w:val="0000FF"/>
            <w:sz w:val="24"/>
            <w:szCs w:val="24"/>
            <w:u w:val="single"/>
            <w:lang w:val="en-US" w:eastAsia="de-DE"/>
          </w:rPr>
          <w:t>activities that everybody does</w:t>
        </w:r>
      </w:hyperlink>
      <w:proofErr w:type="gramStart"/>
      <w:r w:rsidRPr="004B2143">
        <w:rPr>
          <w:rFonts w:ascii="Times New Roman" w:eastAsia="Times New Roman" w:hAnsi="Times New Roman" w:cs="Times New Roman"/>
          <w:sz w:val="24"/>
          <w:szCs w:val="24"/>
          <w:lang w:val="en-US" w:eastAsia="de-DE"/>
        </w:rPr>
        <w:t>,</w:t>
      </w:r>
      <w:proofErr w:type="gramEnd"/>
      <w:r w:rsidRPr="004B2143">
        <w:rPr>
          <w:rFonts w:ascii="Times New Roman" w:eastAsia="Times New Roman" w:hAnsi="Times New Roman" w:cs="Times New Roman"/>
          <w:sz w:val="24"/>
          <w:szCs w:val="24"/>
          <w:lang w:val="en-US" w:eastAsia="de-DE"/>
        </w:rPr>
        <w:t xml:space="preserve"> are shown as green blocks. Those activities where the organization does not do one of the things that everybody does are shown in red blocks. Those practices where the data show that the organization under review is "behind" the average are shown with the blue swath over the activities in the practice.</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In the fake client data above, the pretend organization should think hard about the red blocks in </w:t>
      </w:r>
      <w:r w:rsidRPr="004B2143">
        <w:rPr>
          <w:rFonts w:ascii="Times New Roman" w:eastAsia="Times New Roman" w:hAnsi="Times New Roman" w:cs="Times New Roman"/>
          <w:i/>
          <w:iCs/>
          <w:sz w:val="24"/>
          <w:szCs w:val="24"/>
          <w:lang w:val="en-US" w:eastAsia="de-DE"/>
        </w:rPr>
        <w:t>compliance and policy, training, architecture analysis, security testing,</w:t>
      </w:r>
      <w:r w:rsidRPr="004B2143">
        <w:rPr>
          <w:rFonts w:ascii="Times New Roman" w:eastAsia="Times New Roman" w:hAnsi="Times New Roman" w:cs="Times New Roman"/>
          <w:sz w:val="24"/>
          <w:szCs w:val="24"/>
          <w:lang w:val="en-US" w:eastAsia="de-DE"/>
        </w:rPr>
        <w:t xml:space="preserve"> and </w:t>
      </w:r>
      <w:r w:rsidRPr="004B2143">
        <w:rPr>
          <w:rFonts w:ascii="Times New Roman" w:eastAsia="Times New Roman" w:hAnsi="Times New Roman" w:cs="Times New Roman"/>
          <w:i/>
          <w:iCs/>
          <w:sz w:val="24"/>
          <w:szCs w:val="24"/>
          <w:lang w:val="en-US" w:eastAsia="de-DE"/>
        </w:rPr>
        <w:t>software environment</w:t>
      </w:r>
      <w:r w:rsidRPr="004B2143">
        <w:rPr>
          <w:rFonts w:ascii="Times New Roman" w:eastAsia="Times New Roman" w:hAnsi="Times New Roman" w:cs="Times New Roman"/>
          <w:sz w:val="24"/>
          <w:szCs w:val="24"/>
          <w:lang w:val="en-US" w:eastAsia="de-DE"/>
        </w:rPr>
        <w:t>. Red doesn't mean you're negligent, but it does make you an outlier. Like your mother always told you, just because everyone else is doing it doesn't mean you have to do it too, but it is prudent at least to know why you're not doing it.</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Blue shift practices for this pretend organization include: </w:t>
      </w:r>
      <w:r w:rsidRPr="004B2143">
        <w:rPr>
          <w:rFonts w:ascii="Times New Roman" w:eastAsia="Times New Roman" w:hAnsi="Times New Roman" w:cs="Times New Roman"/>
          <w:i/>
          <w:iCs/>
          <w:sz w:val="24"/>
          <w:szCs w:val="24"/>
          <w:lang w:val="en-US" w:eastAsia="de-DE"/>
        </w:rPr>
        <w:t>strategy and metrics, training,</w:t>
      </w:r>
      <w:r w:rsidRPr="004B2143">
        <w:rPr>
          <w:rFonts w:ascii="Times New Roman" w:eastAsia="Times New Roman" w:hAnsi="Times New Roman" w:cs="Times New Roman"/>
          <w:sz w:val="24"/>
          <w:szCs w:val="24"/>
          <w:lang w:val="en-US" w:eastAsia="de-DE"/>
        </w:rPr>
        <w:t xml:space="preserve"> and </w:t>
      </w:r>
      <w:r w:rsidRPr="004B2143">
        <w:rPr>
          <w:rFonts w:ascii="Times New Roman" w:eastAsia="Times New Roman" w:hAnsi="Times New Roman" w:cs="Times New Roman"/>
          <w:i/>
          <w:iCs/>
          <w:sz w:val="24"/>
          <w:szCs w:val="24"/>
          <w:lang w:val="en-US" w:eastAsia="de-DE"/>
        </w:rPr>
        <w:t>security requirements</w:t>
      </w:r>
      <w:r w:rsidRPr="004B2143">
        <w:rPr>
          <w:rFonts w:ascii="Times New Roman" w:eastAsia="Times New Roman" w:hAnsi="Times New Roman" w:cs="Times New Roman"/>
          <w:sz w:val="24"/>
          <w:szCs w:val="24"/>
          <w:lang w:val="en-US" w:eastAsia="de-DE"/>
        </w:rPr>
        <w:t xml:space="preserve">. Those "popular" activities in blue shift practices (where more than five of the nine carry out </w:t>
      </w:r>
      <w:r w:rsidRPr="004B2143">
        <w:rPr>
          <w:rFonts w:ascii="Times New Roman" w:eastAsia="Times New Roman" w:hAnsi="Times New Roman" w:cs="Times New Roman"/>
          <w:sz w:val="24"/>
          <w:szCs w:val="24"/>
          <w:lang w:val="en-US" w:eastAsia="de-DE"/>
        </w:rPr>
        <w:lastRenderedPageBreak/>
        <w:t>the activity) are shown as blue blocks. The blue shift activities might be a way to accelerate a program quickly within a given practice.</w:t>
      </w:r>
    </w:p>
    <w:p w:rsidR="004B2143" w:rsidRPr="004B2143" w:rsidRDefault="004B2143" w:rsidP="004B2143">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4B2143">
        <w:rPr>
          <w:rFonts w:ascii="Times New Roman" w:eastAsia="Times New Roman" w:hAnsi="Times New Roman" w:cs="Times New Roman"/>
          <w:b/>
          <w:bCs/>
          <w:sz w:val="36"/>
          <w:szCs w:val="36"/>
          <w:lang w:val="en-US" w:eastAsia="de-DE"/>
        </w:rPr>
        <w:t>Everyone is a Special Snowflake (Not)</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One of the surprises of the BSIMM work was that industry vertical has less impact than we thought it would on a software security initiative. We observed data from 4 ISVs (Microsoft, EMC, Google, and Adobe). We also observed data from four financial services firms (Wells Fargo, DTCC, and two that remain un-named). Our intuition was that we would need to build two models, one for ISVs and one for Financial Services firms. The data show that intuition is wrong.</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Here is a spider chart showing the ISV high water mark average over the Financial Services high water mark average (these data are real):</w:t>
      </w:r>
    </w:p>
    <w:p w:rsidR="004B2143" w:rsidRPr="004B2143" w:rsidRDefault="004B2143" w:rsidP="004B2143">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6645910" cy="3980485"/>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6645910" cy="3980485"/>
                    </a:xfrm>
                    <a:prstGeom prst="rect">
                      <a:avLst/>
                    </a:prstGeom>
                    <a:noFill/>
                    <a:ln w="9525">
                      <a:noFill/>
                      <a:miter lim="800000"/>
                      <a:headEnd/>
                      <a:tailEnd/>
                    </a:ln>
                  </pic:spPr>
                </pic:pic>
              </a:graphicData>
            </a:graphic>
          </wp:inline>
        </w:drawing>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hyperlink r:id="rId27" w:history="1">
        <w:proofErr w:type="gramStart"/>
        <w:r w:rsidRPr="004B2143">
          <w:rPr>
            <w:rFonts w:ascii="Times New Roman" w:eastAsia="Times New Roman" w:hAnsi="Times New Roman" w:cs="Times New Roman"/>
            <w:color w:val="0000FF"/>
            <w:sz w:val="24"/>
            <w:szCs w:val="24"/>
            <w:u w:val="single"/>
            <w:lang w:val="en-US" w:eastAsia="de-DE"/>
          </w:rPr>
          <w:t>Figure 5.</w:t>
        </w:r>
        <w:proofErr w:type="gramEnd"/>
      </w:hyperlink>
      <w:r w:rsidRPr="004B2143">
        <w:rPr>
          <w:rFonts w:ascii="Times New Roman" w:eastAsia="Times New Roman" w:hAnsi="Times New Roman" w:cs="Times New Roman"/>
          <w:sz w:val="24"/>
          <w:szCs w:val="24"/>
          <w:lang w:val="en-US" w:eastAsia="de-DE"/>
        </w:rPr>
        <w:t xml:space="preserve"> </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As you can see, the most apparent feature is the broad overlap between verticals. There is one difference worth noting: the ISVs studied have a tendency to emphasize testing (both </w:t>
      </w:r>
      <w:r w:rsidRPr="004B2143">
        <w:rPr>
          <w:rFonts w:ascii="Times New Roman" w:eastAsia="Times New Roman" w:hAnsi="Times New Roman" w:cs="Times New Roman"/>
          <w:i/>
          <w:iCs/>
          <w:sz w:val="24"/>
          <w:szCs w:val="24"/>
          <w:lang w:val="en-US" w:eastAsia="de-DE"/>
        </w:rPr>
        <w:t>security testing</w:t>
      </w:r>
      <w:r w:rsidRPr="004B2143">
        <w:rPr>
          <w:rFonts w:ascii="Times New Roman" w:eastAsia="Times New Roman" w:hAnsi="Times New Roman" w:cs="Times New Roman"/>
          <w:sz w:val="24"/>
          <w:szCs w:val="24"/>
          <w:lang w:val="en-US" w:eastAsia="de-DE"/>
        </w:rPr>
        <w:t xml:space="preserve"> and </w:t>
      </w:r>
      <w:r w:rsidRPr="004B2143">
        <w:rPr>
          <w:rFonts w:ascii="Times New Roman" w:eastAsia="Times New Roman" w:hAnsi="Times New Roman" w:cs="Times New Roman"/>
          <w:i/>
          <w:iCs/>
          <w:sz w:val="24"/>
          <w:szCs w:val="24"/>
          <w:lang w:val="en-US" w:eastAsia="de-DE"/>
        </w:rPr>
        <w:t>pen testing</w:t>
      </w:r>
      <w:r w:rsidRPr="004B2143">
        <w:rPr>
          <w:rFonts w:ascii="Times New Roman" w:eastAsia="Times New Roman" w:hAnsi="Times New Roman" w:cs="Times New Roman"/>
          <w:sz w:val="24"/>
          <w:szCs w:val="24"/>
          <w:lang w:val="en-US" w:eastAsia="de-DE"/>
        </w:rPr>
        <w:t xml:space="preserve">) and </w:t>
      </w:r>
      <w:r w:rsidRPr="004B2143">
        <w:rPr>
          <w:rFonts w:ascii="Times New Roman" w:eastAsia="Times New Roman" w:hAnsi="Times New Roman" w:cs="Times New Roman"/>
          <w:i/>
          <w:iCs/>
          <w:sz w:val="24"/>
          <w:szCs w:val="24"/>
          <w:lang w:val="en-US" w:eastAsia="de-DE"/>
        </w:rPr>
        <w:t>configuration management/vulnerability management</w:t>
      </w:r>
      <w:r w:rsidRPr="004B2143">
        <w:rPr>
          <w:rFonts w:ascii="Times New Roman" w:eastAsia="Times New Roman" w:hAnsi="Times New Roman" w:cs="Times New Roman"/>
          <w:sz w:val="24"/>
          <w:szCs w:val="24"/>
          <w:lang w:val="en-US" w:eastAsia="de-DE"/>
        </w:rPr>
        <w:t xml:space="preserve"> over the financial services firms. The financial services firms have a slightly greater emphasis on </w:t>
      </w:r>
      <w:r w:rsidRPr="004B2143">
        <w:rPr>
          <w:rFonts w:ascii="Times New Roman" w:eastAsia="Times New Roman" w:hAnsi="Times New Roman" w:cs="Times New Roman"/>
          <w:i/>
          <w:iCs/>
          <w:sz w:val="24"/>
          <w:szCs w:val="24"/>
          <w:lang w:val="en-US" w:eastAsia="de-DE"/>
        </w:rPr>
        <w:t>compliance and policy, security features and design</w:t>
      </w:r>
      <w:r w:rsidRPr="004B2143">
        <w:rPr>
          <w:rFonts w:ascii="Times New Roman" w:eastAsia="Times New Roman" w:hAnsi="Times New Roman" w:cs="Times New Roman"/>
          <w:sz w:val="24"/>
          <w:szCs w:val="24"/>
          <w:lang w:val="en-US" w:eastAsia="de-DE"/>
        </w:rPr>
        <w:t xml:space="preserve">, and </w:t>
      </w:r>
      <w:r w:rsidRPr="004B2143">
        <w:rPr>
          <w:rFonts w:ascii="Times New Roman" w:eastAsia="Times New Roman" w:hAnsi="Times New Roman" w:cs="Times New Roman"/>
          <w:i/>
          <w:iCs/>
          <w:sz w:val="24"/>
          <w:szCs w:val="24"/>
          <w:lang w:val="en-US" w:eastAsia="de-DE"/>
        </w:rPr>
        <w:t>training</w:t>
      </w:r>
      <w:r w:rsidRPr="004B2143">
        <w:rPr>
          <w:rFonts w:ascii="Times New Roman" w:eastAsia="Times New Roman" w:hAnsi="Times New Roman" w:cs="Times New Roman"/>
          <w:sz w:val="24"/>
          <w:szCs w:val="24"/>
          <w:lang w:val="en-US" w:eastAsia="de-DE"/>
        </w:rPr>
        <w:t>. This makes perfect sense if you think about regulatory compliance versus market perception issues affecting the two verticals.</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The data show that the BSIMM is useful as a yardstick for software security initiatives even from diverse verticals. As we gather more data, both from larger, established programs and from smaller, newer programs, we will determine just how robust this feature of the model is in practice.</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This is an important result, because it cuts through one of the software security myths: the myth of the special snowflake. Jim Routh, one of the study participants and the CISO of DTCC puts it this way, "What we discovered is that a mature software security program for a financial service firms is very similar to one for an ISV like [Microsoft]. In fact they can and do use the same methods, techniques and tools for secure </w:t>
      </w:r>
      <w:r w:rsidRPr="004B2143">
        <w:rPr>
          <w:rFonts w:ascii="Times New Roman" w:eastAsia="Times New Roman" w:hAnsi="Times New Roman" w:cs="Times New Roman"/>
          <w:sz w:val="24"/>
          <w:szCs w:val="24"/>
          <w:lang w:val="en-US" w:eastAsia="de-DE"/>
        </w:rPr>
        <w:lastRenderedPageBreak/>
        <w:t>software development. The maturity for both entities can now be measured the same way with the same framework. This helps our firm when it communicates to ISVs and requests artifacts from the software security program. We always assumed that the ISV world of software security was different."</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Put concisely, the BSIMM is an extremely useful yardstick for software security programs that can provide an important measuring tool.</w:t>
      </w:r>
    </w:p>
    <w:p w:rsidR="004B2143" w:rsidRPr="004B2143" w:rsidRDefault="004B2143" w:rsidP="004B2143">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4B2143">
        <w:rPr>
          <w:rFonts w:ascii="Times New Roman" w:eastAsia="Times New Roman" w:hAnsi="Times New Roman" w:cs="Times New Roman"/>
          <w:b/>
          <w:bCs/>
          <w:sz w:val="36"/>
          <w:szCs w:val="36"/>
          <w:lang w:eastAsia="de-DE"/>
        </w:rPr>
        <w:t>The Metrics/Culture Problem</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We spoke to each of the nine about metrics, and previously </w:t>
      </w:r>
      <w:hyperlink r:id="rId28" w:history="1">
        <w:r w:rsidRPr="004B2143">
          <w:rPr>
            <w:rFonts w:ascii="Times New Roman" w:eastAsia="Times New Roman" w:hAnsi="Times New Roman" w:cs="Times New Roman"/>
            <w:color w:val="0000FF"/>
            <w:sz w:val="24"/>
            <w:szCs w:val="24"/>
            <w:u w:val="single"/>
            <w:lang w:val="en-US" w:eastAsia="de-DE"/>
          </w:rPr>
          <w:t>reported some of our findings regarding the misuse of metrics</w:t>
        </w:r>
      </w:hyperlink>
      <w:r w:rsidRPr="004B2143">
        <w:rPr>
          <w:rFonts w:ascii="Times New Roman" w:eastAsia="Times New Roman" w:hAnsi="Times New Roman" w:cs="Times New Roman"/>
          <w:sz w:val="24"/>
          <w:szCs w:val="24"/>
          <w:lang w:val="en-US" w:eastAsia="de-DE"/>
        </w:rPr>
        <w:t>. All of the nine have robust metrics systems in place and note the importance of good metrics to their success (and decry the distracting impact of bad metrics). Despite the common ground seen in the various SSG activities, we observed no common metrics shared among all of the nine.</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Our hypothesis is that metrics are valuable in a particular organizational culture. Furthermore, transferring a metrics program from one culture to another seems much like organ transplant — chances of rejection by the host are high.</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This is discouraging, because we all would like some common metrics that work for any organization, especially metrics that we can use to show that software security is actually improving. Meanwhile, we will settle for measuring activities under the assumption that such </w:t>
      </w:r>
      <w:proofErr w:type="gramStart"/>
      <w:r w:rsidRPr="004B2143">
        <w:rPr>
          <w:rFonts w:ascii="Times New Roman" w:eastAsia="Times New Roman" w:hAnsi="Times New Roman" w:cs="Times New Roman"/>
          <w:sz w:val="24"/>
          <w:szCs w:val="24"/>
          <w:lang w:val="en-US" w:eastAsia="de-DE"/>
        </w:rPr>
        <w:t>activities</w:t>
      </w:r>
      <w:proofErr w:type="gramEnd"/>
      <w:r w:rsidRPr="004B2143">
        <w:rPr>
          <w:rFonts w:ascii="Times New Roman" w:eastAsia="Times New Roman" w:hAnsi="Times New Roman" w:cs="Times New Roman"/>
          <w:sz w:val="24"/>
          <w:szCs w:val="24"/>
          <w:lang w:val="en-US" w:eastAsia="de-DE"/>
        </w:rPr>
        <w:t xml:space="preserve"> result in more secure software. The participants firmly believe that their SSG activities are a fundamental reason for their software security improvements, and we have no reason to doubt them.</w:t>
      </w:r>
    </w:p>
    <w:p w:rsidR="004B2143" w:rsidRPr="004B2143" w:rsidRDefault="004B2143" w:rsidP="004B2143">
      <w:pPr>
        <w:spacing w:before="100" w:beforeAutospacing="1" w:after="100" w:afterAutospacing="1" w:line="240" w:lineRule="auto"/>
        <w:outlineLvl w:val="1"/>
        <w:rPr>
          <w:rFonts w:ascii="Times New Roman" w:eastAsia="Times New Roman" w:hAnsi="Times New Roman" w:cs="Times New Roman"/>
          <w:b/>
          <w:bCs/>
          <w:sz w:val="36"/>
          <w:szCs w:val="36"/>
          <w:lang w:val="en-US" w:eastAsia="de-DE"/>
        </w:rPr>
      </w:pPr>
      <w:r w:rsidRPr="004B2143">
        <w:rPr>
          <w:rFonts w:ascii="Times New Roman" w:eastAsia="Times New Roman" w:hAnsi="Times New Roman" w:cs="Times New Roman"/>
          <w:b/>
          <w:bCs/>
          <w:sz w:val="36"/>
          <w:szCs w:val="36"/>
          <w:lang w:val="en-US" w:eastAsia="de-DE"/>
        </w:rPr>
        <w:t>Dawn in the Age of Enlightenment</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 xml:space="preserve">Please download the BSIMM and use it yourself: </w:t>
      </w:r>
      <w:hyperlink r:id="rId29" w:history="1">
        <w:r w:rsidRPr="004B2143">
          <w:rPr>
            <w:rFonts w:ascii="Times New Roman" w:eastAsia="Times New Roman" w:hAnsi="Times New Roman" w:cs="Times New Roman"/>
            <w:color w:val="0000FF"/>
            <w:sz w:val="24"/>
            <w:szCs w:val="24"/>
            <w:u w:val="single"/>
            <w:lang w:val="en-US" w:eastAsia="de-DE"/>
          </w:rPr>
          <w:t>http://bsi-mm.com</w:t>
        </w:r>
      </w:hyperlink>
      <w:r w:rsidRPr="004B2143">
        <w:rPr>
          <w:rFonts w:ascii="Times New Roman" w:eastAsia="Times New Roman" w:hAnsi="Times New Roman" w:cs="Times New Roman"/>
          <w:sz w:val="24"/>
          <w:szCs w:val="24"/>
          <w:lang w:val="en-US" w:eastAsia="de-DE"/>
        </w:rPr>
        <w:t>. Use the contact form to tell us about your experience.</w:t>
      </w:r>
    </w:p>
    <w:p w:rsidR="004B2143" w:rsidRPr="004B2143" w:rsidRDefault="004B2143" w:rsidP="004B2143">
      <w:pPr>
        <w:spacing w:after="0" w:line="240" w:lineRule="auto"/>
        <w:rPr>
          <w:rFonts w:ascii="Times New Roman" w:eastAsia="Times New Roman" w:hAnsi="Times New Roman" w:cs="Times New Roman"/>
          <w:sz w:val="24"/>
          <w:szCs w:val="24"/>
          <w:lang w:eastAsia="de-DE"/>
        </w:rPr>
      </w:pPr>
      <w:r w:rsidRPr="004B2143">
        <w:rPr>
          <w:rFonts w:ascii="Times New Roman" w:eastAsia="Times New Roman" w:hAnsi="Times New Roman" w:cs="Times New Roman"/>
          <w:sz w:val="24"/>
          <w:szCs w:val="24"/>
          <w:lang w:eastAsia="de-DE"/>
        </w:rPr>
        <w:pict>
          <v:rect id="_x0000_i1027" style="width:0;height:1.5pt" o:hralign="center" o:hrstd="t" o:hr="t" fillcolor="#a0a0a0" stroked="f"/>
        </w:pic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proofErr w:type="gramStart"/>
      <w:r w:rsidRPr="004B2143">
        <w:rPr>
          <w:rFonts w:ascii="Times New Roman" w:eastAsia="Times New Roman" w:hAnsi="Times New Roman" w:cs="Times New Roman"/>
          <w:sz w:val="24"/>
          <w:szCs w:val="24"/>
          <w:lang w:val="en-US" w:eastAsia="de-DE"/>
        </w:rPr>
        <w:t>© 2009 Pearson Education, Inc. Informit.</w:t>
      </w:r>
      <w:proofErr w:type="gramEnd"/>
      <w:r w:rsidRPr="004B2143">
        <w:rPr>
          <w:rFonts w:ascii="Times New Roman" w:eastAsia="Times New Roman" w:hAnsi="Times New Roman" w:cs="Times New Roman"/>
          <w:sz w:val="24"/>
          <w:szCs w:val="24"/>
          <w:lang w:val="en-US" w:eastAsia="de-DE"/>
        </w:rPr>
        <w:t xml:space="preserve"> All rights reserved.</w:t>
      </w:r>
    </w:p>
    <w:p w:rsidR="004B2143" w:rsidRPr="004B2143" w:rsidRDefault="004B2143" w:rsidP="004B2143">
      <w:pPr>
        <w:spacing w:before="100" w:beforeAutospacing="1" w:after="100" w:afterAutospacing="1" w:line="240" w:lineRule="auto"/>
        <w:rPr>
          <w:rFonts w:ascii="Times New Roman" w:eastAsia="Times New Roman" w:hAnsi="Times New Roman" w:cs="Times New Roman"/>
          <w:sz w:val="24"/>
          <w:szCs w:val="24"/>
          <w:lang w:val="en-US" w:eastAsia="de-DE"/>
        </w:rPr>
      </w:pPr>
      <w:r w:rsidRPr="004B2143">
        <w:rPr>
          <w:rFonts w:ascii="Times New Roman" w:eastAsia="Times New Roman" w:hAnsi="Times New Roman" w:cs="Times New Roman"/>
          <w:sz w:val="24"/>
          <w:szCs w:val="24"/>
          <w:lang w:val="en-US" w:eastAsia="de-DE"/>
        </w:rPr>
        <w:t>800 East 96th Street Indianapolis, Indiana 46240</w:t>
      </w:r>
    </w:p>
    <w:p w:rsidR="00B93E0D" w:rsidRPr="004B2143" w:rsidRDefault="00B93E0D">
      <w:pPr>
        <w:rPr>
          <w:lang w:val="en-US"/>
        </w:rPr>
      </w:pPr>
    </w:p>
    <w:sectPr w:rsidR="00B93E0D" w:rsidRPr="004B2143" w:rsidSect="004B2143">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drawingGridHorizontalSpacing w:val="110"/>
  <w:displayHorizontalDrawingGridEvery w:val="2"/>
  <w:characterSpacingControl w:val="doNotCompress"/>
  <w:compat/>
  <w:rsids>
    <w:rsidRoot w:val="004B2143"/>
    <w:rsid w:val="00043459"/>
    <w:rsid w:val="002A2326"/>
    <w:rsid w:val="004B2143"/>
    <w:rsid w:val="00B93E0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E0D"/>
  </w:style>
  <w:style w:type="paragraph" w:styleId="Heading1">
    <w:name w:val="heading 1"/>
    <w:basedOn w:val="Normal"/>
    <w:link w:val="Heading1Char"/>
    <w:uiPriority w:val="9"/>
    <w:qFormat/>
    <w:rsid w:val="004B21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2">
    <w:name w:val="heading 2"/>
    <w:basedOn w:val="Normal"/>
    <w:link w:val="Heading2Char"/>
    <w:uiPriority w:val="9"/>
    <w:qFormat/>
    <w:rsid w:val="004B2143"/>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143"/>
    <w:rPr>
      <w:rFonts w:ascii="Times New Roman" w:eastAsia="Times New Roman" w:hAnsi="Times New Roman" w:cs="Times New Roman"/>
      <w:b/>
      <w:bCs/>
      <w:kern w:val="36"/>
      <w:sz w:val="48"/>
      <w:szCs w:val="48"/>
      <w:lang w:eastAsia="de-DE"/>
    </w:rPr>
  </w:style>
  <w:style w:type="character" w:customStyle="1" w:styleId="Heading2Char">
    <w:name w:val="Heading 2 Char"/>
    <w:basedOn w:val="DefaultParagraphFont"/>
    <w:link w:val="Heading2"/>
    <w:uiPriority w:val="9"/>
    <w:rsid w:val="004B2143"/>
    <w:rPr>
      <w:rFonts w:ascii="Times New Roman" w:eastAsia="Times New Roman" w:hAnsi="Times New Roman" w:cs="Times New Roman"/>
      <w:b/>
      <w:bCs/>
      <w:sz w:val="36"/>
      <w:szCs w:val="36"/>
      <w:lang w:eastAsia="de-DE"/>
    </w:rPr>
  </w:style>
  <w:style w:type="character" w:styleId="Hyperlink">
    <w:name w:val="Hyperlink"/>
    <w:basedOn w:val="DefaultParagraphFont"/>
    <w:uiPriority w:val="99"/>
    <w:semiHidden/>
    <w:unhideWhenUsed/>
    <w:rsid w:val="004B2143"/>
    <w:rPr>
      <w:color w:val="0000FF"/>
      <w:u w:val="single"/>
    </w:rPr>
  </w:style>
  <w:style w:type="paragraph" w:styleId="NormalWeb">
    <w:name w:val="Normal (Web)"/>
    <w:basedOn w:val="Normal"/>
    <w:uiPriority w:val="99"/>
    <w:semiHidden/>
    <w:unhideWhenUsed/>
    <w:rsid w:val="004B214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4B2143"/>
    <w:rPr>
      <w:i/>
      <w:iCs/>
    </w:rPr>
  </w:style>
  <w:style w:type="paragraph" w:customStyle="1" w:styleId="title">
    <w:name w:val="title"/>
    <w:basedOn w:val="Normal"/>
    <w:rsid w:val="004B214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4B2143"/>
    <w:rPr>
      <w:b/>
      <w:bCs/>
    </w:rPr>
  </w:style>
  <w:style w:type="paragraph" w:customStyle="1" w:styleId="copyright">
    <w:name w:val="copyright"/>
    <w:basedOn w:val="Normal"/>
    <w:rsid w:val="004B21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address">
    <w:name w:val="address"/>
    <w:basedOn w:val="Normal"/>
    <w:rsid w:val="004B21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DocumentMap">
    <w:name w:val="Document Map"/>
    <w:basedOn w:val="Normal"/>
    <w:link w:val="DocumentMapChar"/>
    <w:uiPriority w:val="99"/>
    <w:semiHidden/>
    <w:unhideWhenUsed/>
    <w:rsid w:val="004B214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B2143"/>
    <w:rPr>
      <w:rFonts w:ascii="Tahoma" w:hAnsi="Tahoma" w:cs="Tahoma"/>
      <w:sz w:val="16"/>
      <w:szCs w:val="16"/>
    </w:rPr>
  </w:style>
  <w:style w:type="paragraph" w:styleId="BalloonText">
    <w:name w:val="Balloon Text"/>
    <w:basedOn w:val="Normal"/>
    <w:link w:val="BalloonTextChar"/>
    <w:uiPriority w:val="99"/>
    <w:semiHidden/>
    <w:unhideWhenUsed/>
    <w:rsid w:val="004B21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14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80402439">
      <w:bodyDiv w:val="1"/>
      <w:marLeft w:val="0"/>
      <w:marRight w:val="0"/>
      <w:marTop w:val="0"/>
      <w:marBottom w:val="0"/>
      <w:divBdr>
        <w:top w:val="none" w:sz="0" w:space="0" w:color="auto"/>
        <w:left w:val="none" w:sz="0" w:space="0" w:color="auto"/>
        <w:bottom w:val="none" w:sz="0" w:space="0" w:color="auto"/>
        <w:right w:val="none" w:sz="0" w:space="0" w:color="auto"/>
      </w:divBdr>
      <w:divsChild>
        <w:div w:id="356322144">
          <w:marLeft w:val="0"/>
          <w:marRight w:val="0"/>
          <w:marTop w:val="0"/>
          <w:marBottom w:val="0"/>
          <w:divBdr>
            <w:top w:val="none" w:sz="0" w:space="0" w:color="auto"/>
            <w:left w:val="none" w:sz="0" w:space="0" w:color="auto"/>
            <w:bottom w:val="none" w:sz="0" w:space="0" w:color="auto"/>
            <w:right w:val="none" w:sz="0" w:space="0" w:color="auto"/>
          </w:divBdr>
          <w:divsChild>
            <w:div w:id="1088497859">
              <w:marLeft w:val="0"/>
              <w:marRight w:val="0"/>
              <w:marTop w:val="0"/>
              <w:marBottom w:val="0"/>
              <w:divBdr>
                <w:top w:val="none" w:sz="0" w:space="0" w:color="auto"/>
                <w:left w:val="none" w:sz="0" w:space="0" w:color="auto"/>
                <w:bottom w:val="none" w:sz="0" w:space="0" w:color="auto"/>
                <w:right w:val="none" w:sz="0" w:space="0" w:color="auto"/>
              </w:divBdr>
            </w:div>
            <w:div w:id="1610313282">
              <w:marLeft w:val="0"/>
              <w:marRight w:val="0"/>
              <w:marTop w:val="0"/>
              <w:marBottom w:val="0"/>
              <w:divBdr>
                <w:top w:val="none" w:sz="0" w:space="0" w:color="auto"/>
                <w:left w:val="none" w:sz="0" w:space="0" w:color="auto"/>
                <w:bottom w:val="none" w:sz="0" w:space="0" w:color="auto"/>
                <w:right w:val="none" w:sz="0" w:space="0" w:color="auto"/>
              </w:divBdr>
            </w:div>
            <w:div w:id="1931306411">
              <w:marLeft w:val="0"/>
              <w:marRight w:val="0"/>
              <w:marTop w:val="0"/>
              <w:marBottom w:val="0"/>
              <w:divBdr>
                <w:top w:val="none" w:sz="0" w:space="0" w:color="auto"/>
                <w:left w:val="none" w:sz="0" w:space="0" w:color="auto"/>
                <w:bottom w:val="none" w:sz="0" w:space="0" w:color="auto"/>
                <w:right w:val="none" w:sz="0" w:space="0" w:color="auto"/>
              </w:divBdr>
            </w:div>
            <w:div w:id="1758482994">
              <w:marLeft w:val="0"/>
              <w:marRight w:val="0"/>
              <w:marTop w:val="0"/>
              <w:marBottom w:val="0"/>
              <w:divBdr>
                <w:top w:val="none" w:sz="0" w:space="0" w:color="auto"/>
                <w:left w:val="none" w:sz="0" w:space="0" w:color="auto"/>
                <w:bottom w:val="none" w:sz="0" w:space="0" w:color="auto"/>
                <w:right w:val="none" w:sz="0" w:space="0" w:color="auto"/>
              </w:divBdr>
            </w:div>
            <w:div w:id="1940064993">
              <w:marLeft w:val="0"/>
              <w:marRight w:val="0"/>
              <w:marTop w:val="0"/>
              <w:marBottom w:val="0"/>
              <w:divBdr>
                <w:top w:val="none" w:sz="0" w:space="0" w:color="auto"/>
                <w:left w:val="none" w:sz="0" w:space="0" w:color="auto"/>
                <w:bottom w:val="none" w:sz="0" w:space="0" w:color="auto"/>
                <w:right w:val="none" w:sz="0" w:space="0" w:color="auto"/>
              </w:divBdr>
            </w:div>
            <w:div w:id="1377899947">
              <w:marLeft w:val="0"/>
              <w:marRight w:val="0"/>
              <w:marTop w:val="0"/>
              <w:marBottom w:val="0"/>
              <w:divBdr>
                <w:top w:val="none" w:sz="0" w:space="0" w:color="auto"/>
                <w:left w:val="none" w:sz="0" w:space="0" w:color="auto"/>
                <w:bottom w:val="none" w:sz="0" w:space="0" w:color="auto"/>
                <w:right w:val="none" w:sz="0" w:space="0" w:color="auto"/>
              </w:divBdr>
            </w:div>
            <w:div w:id="12577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wprofessional.com/" TargetMode="External"/><Relationship Id="rId13" Type="http://schemas.openxmlformats.org/officeDocument/2006/relationships/hyperlink" Target="http://www.informit.com/articles/article.asp?p=1322398" TargetMode="External"/><Relationship Id="rId18" Type="http://schemas.openxmlformats.org/officeDocument/2006/relationships/hyperlink" Target="http://www.informit.com/articles/article.asp?p=1326511" TargetMode="External"/><Relationship Id="rId26"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image" Target="media/image4.png"/><Relationship Id="rId7" Type="http://schemas.openxmlformats.org/officeDocument/2006/relationships/hyperlink" Target="http://www.informit.com/authors/bio.aspx?a=bb19cb14-a43b-43a0-9fc1-22f2adef41c9" TargetMode="External"/><Relationship Id="rId12" Type="http://schemas.openxmlformats.org/officeDocument/2006/relationships/hyperlink" Target="http://www.informit.com/articles/article.asp?p=1248057" TargetMode="External"/><Relationship Id="rId17" Type="http://schemas.openxmlformats.org/officeDocument/2006/relationships/hyperlink" Target="http://bsi-mm.com/ssf" TargetMode="External"/><Relationship Id="rId25" Type="http://schemas.openxmlformats.org/officeDocument/2006/relationships/hyperlink" Target="http://www.informit.com/articles/article.asp?p=1326511" TargetMode="External"/><Relationship Id="rId2" Type="http://schemas.openxmlformats.org/officeDocument/2006/relationships/settings" Target="settings.xml"/><Relationship Id="rId16" Type="http://schemas.openxmlformats.org/officeDocument/2006/relationships/hyperlink" Target="javascript:popUp('/content/images/art_mcgraw_bsimm/elementLinks/031309_mcgrawfig01.jpg')" TargetMode="External"/><Relationship Id="rId20" Type="http://schemas.openxmlformats.org/officeDocument/2006/relationships/hyperlink" Target="javascript:popUp('/content/images/art_mcgraw_bsimm/elementLinks/031309_mcgrawfig02.jpg')" TargetMode="External"/><Relationship Id="rId29" Type="http://schemas.openxmlformats.org/officeDocument/2006/relationships/hyperlink" Target="http://bsi-mm.com" TargetMode="External"/><Relationship Id="rId1" Type="http://schemas.openxmlformats.org/officeDocument/2006/relationships/styles" Target="styles.xml"/><Relationship Id="rId6" Type="http://schemas.openxmlformats.org/officeDocument/2006/relationships/hyperlink" Target="http://www.informit.com/authors/bio.aspx?a=b283e5a4-703c-47df-afbf-a9cfa311d46b" TargetMode="External"/><Relationship Id="rId11" Type="http://schemas.openxmlformats.org/officeDocument/2006/relationships/hyperlink" Target="http://www.informit.com/articles/article.asp?p=1326511" TargetMode="External"/><Relationship Id="rId24" Type="http://schemas.openxmlformats.org/officeDocument/2006/relationships/hyperlink" Target="javascript:popUp('/content/images/art_mcgraw_bsimm/elementLinks/031309_mcgrawfig04.jpg')" TargetMode="Externa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yperlink" Target="http://www.informit.com/articles/article.asp?p=1315431" TargetMode="External"/><Relationship Id="rId10" Type="http://schemas.openxmlformats.org/officeDocument/2006/relationships/hyperlink" Target="http://bsi-mm.com"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hyperlink" Target="http://www.informit.com/index.aspx" TargetMode="External"/><Relationship Id="rId9" Type="http://schemas.openxmlformats.org/officeDocument/2006/relationships/hyperlink" Target="http://www.informit.com/articles/article.aspx?p=1332285" TargetMode="External"/><Relationship Id="rId14" Type="http://schemas.openxmlformats.org/officeDocument/2006/relationships/hyperlink" Target="http://www.informit.com/articles/article.asp?p=1271382" TargetMode="External"/><Relationship Id="rId22" Type="http://schemas.openxmlformats.org/officeDocument/2006/relationships/hyperlink" Target="javascript:popUp('/content/images/art_mcgraw_bsimm/elementLinks/031309_mcgrawfig03.jpg')" TargetMode="External"/><Relationship Id="rId27" Type="http://schemas.openxmlformats.org/officeDocument/2006/relationships/hyperlink" Target="javascript:popUp('/content/images/art_mcgraw_bsimm/elementLinks/031309_mcgrawfig05.jp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2080</Words>
  <Characters>13104</Characters>
  <Application>Microsoft Office Word</Application>
  <DocSecurity>0</DocSecurity>
  <Lines>109</Lines>
  <Paragraphs>30</Paragraphs>
  <ScaleCrop>false</ScaleCrop>
  <Company/>
  <LinksUpToDate>false</LinksUpToDate>
  <CharactersWithSpaces>15154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dc:creator>
  <cp:lastModifiedBy>Christina</cp:lastModifiedBy>
  <cp:revision>2</cp:revision>
  <cp:lastPrinted>2009-04-06T15:08:00Z</cp:lastPrinted>
  <dcterms:created xsi:type="dcterms:W3CDTF">2009-04-06T15:03:00Z</dcterms:created>
  <dcterms:modified xsi:type="dcterms:W3CDTF">2009-04-06T15:22:00Z</dcterms:modified>
</cp:coreProperties>
</file>