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0e92a3454a413cf0c7f59a8051953eea1adb72d"/>
    <w:p>
      <w:pPr>
        <w:pStyle w:val="Heading1"/>
      </w:pPr>
      <w:r>
        <w:t xml:space="preserve">Innovación y propuesta de valor — Befine Store</w:t>
      </w:r>
    </w:p>
    <w:bookmarkStart w:id="20" w:name="X5d4dfa00f2c20e4842cd0b43d7d78663a9cbf5c"/>
    <w:p>
      <w:pPr>
        <w:pStyle w:val="Heading2"/>
      </w:pPr>
      <w:r>
        <w:t xml:space="preserve">1. ¿Qué problema resuelve?</w:t>
      </w:r>
    </w:p>
    <w:p>
      <w:pPr>
        <w:pStyle w:val="FirstParagraph"/>
      </w:pPr>
      <w:r>
        <w:t xml:space="preserve">Una microempresa real de reparto de agua (≈ 450 clientes, ≈ 1.000 entregas al mes) depende de</w:t>
      </w:r>
      <w:r>
        <w:t xml:space="preserve"> </w:t>
      </w:r>
      <w:r>
        <w:rPr>
          <w:bCs/>
          <w:b/>
        </w:rPr>
        <w:t xml:space="preserve">Shopify</w:t>
      </w:r>
      <w:r>
        <w:t xml:space="preserve"> </w:t>
      </w:r>
      <w:r>
        <w:t xml:space="preserve">(costo mensual y poca personalización) y de</w:t>
      </w:r>
      <w:r>
        <w:t xml:space="preserve"> </w:t>
      </w:r>
      <w:r>
        <w:rPr>
          <w:bCs/>
          <w:b/>
        </w:rPr>
        <w:t xml:space="preserve">WhatsApp</w:t>
      </w:r>
      <w:r>
        <w:t xml:space="preserve"> </w:t>
      </w:r>
      <w:r>
        <w:t xml:space="preserve">(pedidos sin registro ni trazabilidad). El dueño no puede delegar la operación porque todo pasa por él.</w:t>
      </w:r>
    </w:p>
    <w:p>
      <w:pPr>
        <w:pStyle w:val="BodyText"/>
      </w:pPr>
      <w:r>
        <w:t xml:space="preserve">Befine Store reemplaza ambas cosas por</w:t>
      </w:r>
      <w:r>
        <w:t xml:space="preserve"> </w:t>
      </w:r>
      <w:r>
        <w:rPr>
          <w:bCs/>
          <w:b/>
        </w:rPr>
        <w:t xml:space="preserve">una plataforma propia</w:t>
      </w:r>
      <w:r>
        <w:t xml:space="preserve"> </w:t>
      </w:r>
      <w:r>
        <w:t xml:space="preserve">que cobra, factura, avisa al cliente y deja que el chofer cierre el ciclo de entrega, sin pagar una suscripción de plataforma.</w:t>
      </w:r>
    </w:p>
    <w:bookmarkEnd w:id="20"/>
    <w:bookmarkStart w:id="21" w:name="Xfb13271da03a0f7f1a4306c1fa66985a94f55cd"/>
    <w:p>
      <w:pPr>
        <w:pStyle w:val="Heading2"/>
      </w:pPr>
      <w:r>
        <w:t xml:space="preserve">2. ¿Qué lo hace diferente?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877"/>
        <w:gridCol w:w="4694"/>
        <w:gridCol w:w="2461"/>
        <w:gridCol w:w="1377"/>
      </w:tblGrid>
      <w:tr>
        <w:trPr>
          <w:tblHeader w:val="true"/>
        </w:trPr>
        <w:tc>
          <w:tcPr>
            <w:tcW w:w="877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w="4694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Innovación</w:t>
            </w:r>
          </w:p>
        </w:tc>
        <w:tc>
          <w:tcPr>
            <w:tcW w:w="2461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Por qué importa</w:t>
            </w:r>
          </w:p>
        </w:tc>
        <w:tc>
          <w:tcPr>
            <w:tcW w:w="1377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Evidencia</w:t>
            </w:r>
          </w:p>
        </w:tc>
      </w:tr>
      <w:tr>
        <w:tc>
          <w:tcPr>
            <w:tcW w:w="87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1</w:t>
            </w:r>
          </w:p>
        </w:tc>
        <w:tc>
          <w:tcPr>
            <w:tcW w:w="4694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Experiencia que cambia con la hora del día.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El inicio muestra una escena distinta (madrugada, día, tarde y noche), cambia los colores del agua y saluda según la hora ("Buenas tardes…"); a un cliente que vuelve lo saluda con un mensaje de regreso.</w:t>
            </w:r>
          </w:p>
        </w:tc>
        <w:tc>
          <w:tcPr>
            <w:tcW w:w="246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Hace que una compra rutinaria (una recarga de agua) se sienta cercana y de la marca, no de una plantilla genérica.</w:t>
            </w:r>
          </w:p>
        </w:tc>
        <w:tc>
          <w:tcPr>
            <w:tcW w:w="1377" w:type="dx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js/bands.js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js/scenes.js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+ 9 pruebas en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tests/unit/horario.test.js</w:t>
            </w:r>
          </w:p>
        </w:tc>
      </w:tr>
      <w:tr>
        <w:tc>
          <w:tcPr>
            <w:tcW w:w="87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2</w:t>
            </w:r>
          </w:p>
        </w:tc>
        <w:tc>
          <w:tcPr>
            <w:tcW w:w="469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Agua que reacciona al puntero y al tacto</w:t>
            </w:r>
            <w:r>
              <w:rPr>
                <w:rFonts w:ascii="Arial" w:hAnsi="Arial"/>
                <w:sz w:val="18"/>
              </w:rPr>
              <w:t xml:space="preserve">, con ajuste automático del rendimiento según el dispositivo y respeto por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prefers-reduced-motion</w:t>
            </w:r>
            <w:r>
              <w:rPr>
                <w:rFonts w:ascii="Arial" w:hAnsi="Arial"/>
                <w:sz w:val="18"/>
              </w:rPr>
              <w:t xml:space="preserve">.</w:t>
            </w:r>
          </w:p>
        </w:tc>
        <w:tc>
          <w:tcPr>
            <w:tcW w:w="246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Diferencia visual sin sacrificar la velocidad en celulares de gama baja ni la accesibilidad.</w:t>
            </w:r>
          </w:p>
        </w:tc>
        <w:tc>
          <w:tcPr>
            <w:tcW w:w="137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js/water.js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js/perf.js</w:t>
            </w:r>
          </w:p>
        </w:tc>
      </w:tr>
      <w:tr>
        <w:tc>
          <w:tcPr>
            <w:tcW w:w="87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3</w:t>
            </w:r>
          </w:p>
        </w:tc>
        <w:tc>
          <w:tcPr>
            <w:tcW w:w="4694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Compra en menos de 1 minuto</w:t>
            </w:r>
            <w:r>
              <w:rPr>
                <w:rFonts w:ascii="Arial" w:hAnsi="Arial"/>
                <w:sz w:val="18"/>
              </w:rPr>
              <w:t xml:space="preserve">: checkout en una sola página, datos recordados, validación chilena en línea (RUT, celular), despacho calculado por comuna y entrega agendada en días hábiles.</w:t>
            </w:r>
          </w:p>
        </w:tc>
        <w:tc>
          <w:tcPr>
            <w:tcW w:w="246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El cliente típico repite la misma compra; cada paso extra es un pedido que se va a WhatsApp.</w:t>
            </w:r>
          </w:p>
        </w:tc>
        <w:tc>
          <w:tcPr>
            <w:tcW w:w="1377" w:type="dx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checkout.html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forms.js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+ pruebas</w:t>
            </w:r>
          </w:p>
        </w:tc>
      </w:tr>
      <w:tr>
        <w:tc>
          <w:tcPr>
            <w:tcW w:w="87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4</w:t>
            </w:r>
          </w:p>
        </w:tc>
        <w:tc>
          <w:tcPr>
            <w:tcW w:w="469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Cierre del ciclo de reparto por WhatsApp</w:t>
            </w:r>
            <w:r>
              <w:rPr>
                <w:rFonts w:ascii="Arial" w:hAnsi="Arial"/>
                <w:sz w:val="18"/>
              </w:rPr>
              <w:t xml:space="preserve">: el chofer pulsa "En camino" y "Entregado", y el cliente recibe el aviso en el canal que ya usa.</w:t>
            </w:r>
          </w:p>
        </w:tc>
        <w:tc>
          <w:tcPr>
            <w:tcW w:w="246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Elimina las llamadas de "¿cuándo llega?" y deja trazabilidad de cada entrega (RNF-09).</w:t>
            </w:r>
          </w:p>
        </w:tc>
        <w:tc>
          <w:tcPr>
            <w:tcW w:w="137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Migración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02_reparto_whatsapp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+ diagrama de secuencia</w:t>
            </w:r>
          </w:p>
        </w:tc>
      </w:tr>
      <w:tr>
        <w:tc>
          <w:tcPr>
            <w:tcW w:w="87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5</w:t>
            </w:r>
          </w:p>
        </w:tc>
        <w:tc>
          <w:tcPr>
            <w:tcW w:w="4694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Fidelización con cupones personales</w:t>
            </w:r>
            <w:r>
              <w:rPr>
                <w:rFonts w:ascii="Arial" w:hAnsi="Arial"/>
                <w:sz w:val="18"/>
              </w:rPr>
              <w:t xml:space="preserve">: puntos por compra, recompensas y cupones que solo funcionan para un cliente específico (por ejemplo, para respetar el precio histórico de un cliente antiguo).</w:t>
            </w:r>
          </w:p>
        </w:tc>
        <w:tc>
          <w:tcPr>
            <w:tcW w:w="246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Retiene a la base de clientes existente sin crear listas de precios por cliente.</w:t>
            </w:r>
          </w:p>
        </w:tc>
        <w:tc>
          <w:tcPr>
            <w:tcW w:w="137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Migración 01 (</w:t>
            </w:r>
            <w:r>
              <w:rPr>
                <w:rStyle w:val="VerbatimChar"/>
                <w:rFonts w:ascii="Arial" w:hAnsi="Arial"/>
                <w:sz w:val="18"/>
              </w:rPr>
              <w:t xml:space="preserve">cupones.perfil_id</w:t>
            </w:r>
            <w:r>
              <w:rPr>
                <w:rFonts w:ascii="Arial" w:hAnsi="Arial"/>
                <w:sz w:val="18"/>
              </w:rPr>
              <w:t xml:space="preserve">)</w:t>
            </w:r>
          </w:p>
        </w:tc>
      </w:tr>
      <w:tr>
        <w:tc>
          <w:tcPr>
            <w:tcW w:w="87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6</w:t>
            </w:r>
          </w:p>
        </w:tc>
        <w:tc>
          <w:tcPr>
            <w:tcW w:w="469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Seguridad del dinero en el servidor</w:t>
            </w:r>
            <w:r>
              <w:rPr>
                <w:rFonts w:ascii="Arial" w:hAnsi="Arial"/>
                <w:sz w:val="18"/>
              </w:rPr>
              <w:t xml:space="preserve">: el navegador no decide precios, descuentos ni pagos; los pedidos se crean con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crear_pedido()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y el pago lo confirma solo el webhook, de forma idempotente.</w:t>
            </w:r>
          </w:p>
        </w:tc>
        <w:tc>
          <w:tcPr>
            <w:tcW w:w="246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Una tienda propia no puede ser más vulnerable que Shopify.</w:t>
            </w:r>
          </w:p>
        </w:tc>
        <w:tc>
          <w:tcPr>
            <w:tcW w:w="137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Arquitectura.md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§4</w:t>
            </w:r>
          </w:p>
        </w:tc>
      </w:tr>
      <w:tr>
        <w:tc>
          <w:tcPr>
            <w:tcW w:w="87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7</w:t>
            </w:r>
          </w:p>
        </w:tc>
        <w:tc>
          <w:tcPr>
            <w:tcW w:w="4694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Roles configurables por el dueño (RBAC)</w:t>
            </w:r>
            <w:r>
              <w:rPr>
                <w:rFonts w:ascii="Arial" w:hAnsi="Arial"/>
                <w:sz w:val="18"/>
              </w:rPr>
              <w:t xml:space="preserve">: además de admin y chofer, el dueño puede crear roles y asignarles permisos sin tocar código.</w:t>
            </w:r>
          </w:p>
        </w:tc>
        <w:tc>
          <w:tcPr>
            <w:tcW w:w="246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Habilita la delegación real a medida que el negocio crece.</w:t>
            </w:r>
          </w:p>
        </w:tc>
        <w:tc>
          <w:tcPr>
            <w:tcW w:w="137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Tablas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roles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permisos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y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rol_permisos</w:t>
            </w:r>
          </w:p>
        </w:tc>
      </w:tr>
      <w:tr>
        <w:tc>
          <w:tcPr>
            <w:tcW w:w="87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8</w:t>
            </w:r>
          </w:p>
        </w:tc>
        <w:tc>
          <w:tcPr>
            <w:tcW w:w="469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Boleta/factura automática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con OpenFactura al confirmarse el pago, para clientes residenciales y empresas.</w:t>
            </w:r>
          </w:p>
        </w:tc>
        <w:tc>
          <w:tcPr>
            <w:tcW w:w="246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Elimina la emisión manual de documentos tributarios.</w:t>
            </w:r>
          </w:p>
        </w:tc>
        <w:tc>
          <w:tcPr>
            <w:tcW w:w="137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HU-10 (Sprint 3)</w:t>
            </w:r>
          </w:p>
        </w:tc>
      </w:tr>
      <w:tr>
        <w:tc>
          <w:tcPr>
            <w:tcW w:w="87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9</w:t>
            </w:r>
          </w:p>
        </w:tc>
        <w:tc>
          <w:tcPr>
            <w:tcW w:w="4694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Reseñas reales de Google con costo cero</w:t>
            </w:r>
            <w:r>
              <w:rPr>
                <w:rFonts w:ascii="Arial" w:hAnsi="Arial"/>
                <w:sz w:val="18"/>
              </w:rPr>
              <w:t xml:space="preserve">: una Edge Function con caché de 1 hora mantiene las consultas muy por debajo del tramo gratuito.</w:t>
            </w:r>
          </w:p>
        </w:tc>
        <w:tc>
          <w:tcPr>
            <w:tcW w:w="246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Prueba social auténtica sin costo recurrente.</w:t>
            </w:r>
          </w:p>
        </w:tc>
        <w:tc>
          <w:tcPr>
            <w:tcW w:w="1377" w:type="dx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functions/resenas-google</w:t>
            </w:r>
          </w:p>
        </w:tc>
      </w:tr>
    </w:tbl>
    <w:bookmarkEnd w:id="21"/>
    <w:bookmarkStart w:id="22" w:name="X5aa01fd875f473f2709430750c6d4daa9ef4feb"/>
    <w:p>
      <w:pPr>
        <w:pStyle w:val="Heading2"/>
      </w:pPr>
      <w:r>
        <w:t xml:space="preserve">3. Valor agregado medible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3804"/>
        <w:gridCol w:w="1414"/>
        <w:gridCol w:w="4192"/>
      </w:tblGrid>
      <w:tr>
        <w:trPr>
          <w:tblHeader w:val="true"/>
        </w:trPr>
        <w:tc>
          <w:tcPr>
            <w:tcW w:w="3804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Indicador</w:t>
            </w:r>
          </w:p>
        </w:tc>
        <w:tc>
          <w:tcPr>
            <w:tcW w:w="1414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Línea base (Shopify)</w:t>
            </w:r>
          </w:p>
        </w:tc>
        <w:tc>
          <w:tcPr>
            <w:tcW w:w="4192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Meta con Befine Store</w:t>
            </w:r>
          </w:p>
        </w:tc>
      </w:tr>
      <w:tr>
        <w:tc>
          <w:tcPr>
            <w:tcW w:w="380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Suscripción de plataforma</w:t>
            </w:r>
          </w:p>
        </w:tc>
        <w:tc>
          <w:tcPr>
            <w:tcW w:w="141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Pago mensual</w:t>
            </w:r>
          </w:p>
        </w:tc>
        <w:tc>
          <w:tcPr>
            <w:tcW w:w="419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$0 (se elimina tras el Go-Live)</w:t>
            </w:r>
          </w:p>
        </w:tc>
      </w:tr>
      <w:tr>
        <w:tc>
          <w:tcPr>
            <w:tcW w:w="380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Costo anual de infraestructura y servicios</w:t>
            </w:r>
          </w:p>
        </w:tc>
        <w:tc>
          <w:tcPr>
            <w:tcW w:w="141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—</w:t>
            </w:r>
          </w:p>
        </w:tc>
        <w:tc>
          <w:tcPr>
            <w:tcW w:w="419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$508.795 CLP con 15 % de contingencia (SC-01, SC-04); Supabase en plan gratuito</w:t>
            </w:r>
          </w:p>
        </w:tc>
      </w:tr>
      <w:tr>
        <w:tc>
          <w:tcPr>
            <w:tcW w:w="380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Tiempo de compra en móvil</w:t>
            </w:r>
          </w:p>
        </w:tc>
        <w:tc>
          <w:tcPr>
            <w:tcW w:w="141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Varios pasos</w:t>
            </w:r>
          </w:p>
        </w:tc>
        <w:tc>
          <w:tcPr>
            <w:tcW w:w="419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≤ 1 minuto</w:t>
            </w:r>
          </w:p>
        </w:tc>
      </w:tr>
      <w:tr>
        <w:tc>
          <w:tcPr>
            <w:tcW w:w="380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Rendimiento móvil</w:t>
            </w:r>
          </w:p>
        </w:tc>
        <w:tc>
          <w:tcPr>
            <w:tcW w:w="141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—</w:t>
            </w:r>
          </w:p>
        </w:tc>
        <w:tc>
          <w:tcPr>
            <w:tcW w:w="419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Lighthouse ≥ 90, LCP ≤ 2,5 s</w:t>
            </w:r>
          </w:p>
        </w:tc>
      </w:tr>
      <w:tr>
        <w:tc>
          <w:tcPr>
            <w:tcW w:w="380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Clientes en el programa de puntos</w:t>
            </w:r>
          </w:p>
        </w:tc>
        <w:tc>
          <w:tcPr>
            <w:tcW w:w="141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0</w:t>
            </w:r>
          </w:p>
        </w:tc>
        <w:tc>
          <w:tcPr>
            <w:tcW w:w="419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≥ 10 % de ~450 a 30 días del Go-Live</w:t>
            </w:r>
          </w:p>
        </w:tc>
      </w:tr>
      <w:tr>
        <w:tc>
          <w:tcPr>
            <w:tcW w:w="380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Emisión de documentos tributarios</w:t>
            </w:r>
          </w:p>
        </w:tc>
        <w:tc>
          <w:tcPr>
            <w:tcW w:w="141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Manual</w:t>
            </w:r>
          </w:p>
        </w:tc>
        <w:tc>
          <w:tcPr>
            <w:tcW w:w="419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Automática</w:t>
            </w:r>
          </w:p>
        </w:tc>
      </w:tr>
    </w:tbl>
    <w:bookmarkEnd w:id="22"/>
    <w:bookmarkEnd w:id="23"/>
    <w:sectPr>
      <w:footerReference w:type="default" r:id="rId9"/>
      <w:headerReference w:type="default" r:id="rId10"/>
      <w:pgSz w:h="16838" w:w="11906"/>
      <w:pgMar w:bottom="1247" w:left="1247" w:right="1247" w:top="1247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F7F7F"/>
        <w:sz w:val="16"/>
      </w:rPr>
      <w:t>Befine Store · Grupo N3 · Plaxi Solutions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Theme="majorEastAsia" w:hAnsi="Arial" w:hAnsiTheme="majorHAnsi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val="1F3864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val="1F3864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theme="majorBidi" w:eastAsiaTheme="majorEastAsia" w:hAnsi="Arial" w:hAnsiTheme="majorHAnsi"/>
      <w:i/>
      <w:b/>
      <w:bCs/>
      <w:color w:val="1F3864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2026-10-09T14:09:05Z</dcterms:created>
  <dcterms:modified xsi:type="dcterms:W3CDTF">2026-10-09T14:09:05Z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