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95959"/>
          <w:sz w:val="17"/>
          <w:szCs w:val="17"/>
        </w:rPr>
        <w:t xml:space="preserve">PLAXI SOLUTIONS · PROYECTO BEFINE STORE</w:t>
      </w:r>
    </w:p>
    <w:p>
      <w:pPr>
        <w:pBdr>
          <w:bottom w:val="single" w:color="1F3864" w:sz="8"/>
        </w:pBdr>
        <w:spacing w:after="120"/>
      </w:pPr>
      <w:r>
        <w:t xml:space="preserve"/>
      </w:r>
    </w:p>
    <w:p>
      <w:pPr>
        <w:spacing w:after="40"/>
      </w:pPr>
      <w:r>
        <w:rPr>
          <w:b/>
          <w:bCs/>
          <w:color w:val="1F3864"/>
          <w:sz w:val="36"/>
          <w:szCs w:val="36"/>
        </w:rPr>
        <w:t xml:space="preserve">Acta de Constitución del Proyecto</w:t>
      </w:r>
    </w:p>
    <w:p>
      <w:pPr>
        <w:spacing w:after="30"/>
      </w:pPr>
      <w:r>
        <w:rPr>
          <w:color w:val="2E5496"/>
          <w:sz w:val="22"/>
          <w:szCs w:val="22"/>
        </w:rPr>
        <w:t xml:space="preserve">Befine Store — Plataforma de comercio electrónico propia (migración desde Shopify)</w:t>
      </w:r>
    </w:p>
    <w:p>
      <w:pPr>
        <w:spacing w:after="160"/>
      </w:pPr>
      <w:r>
        <w:rPr>
          <w:i/>
          <w:iCs/>
          <w:color w:val="595959"/>
          <w:sz w:val="19"/>
          <w:szCs w:val="19"/>
        </w:rPr>
        <w:t xml:space="preserve">Versión 1.2 — actualizada el 9 de octubre de 2026. Incorpora los cambios aprobados SC-01 (presupuesto), SC-02 (tecnología de frontend) y SC-04 (plan gratuito de Supabase). Documento original v1.0: 24 de agosto de 2026.</w:t>
      </w:r>
    </w:p>
    <w:p>
      <w:pPr>
        <w:pStyle w:val="Heading1"/>
        <w:spacing w:after="110" w:before="260"/>
      </w:pPr>
      <w:r>
        <w:rPr>
          <w:b/>
          <w:bCs/>
          <w:color w:val="1F3864"/>
          <w:sz w:val="26"/>
          <w:szCs w:val="26"/>
        </w:rPr>
        <w:t xml:space="preserve">Información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Empresa / Organización</w:t>
            </w:r>
          </w:p>
        </w:tc>
        <w:tc>
          <w:tcPr>
            <w:tcW w:type="dxa" w:w="6160"/>
            <w:shd w:fill="FFFFFF" w:color="auto" w:val="clear"/>
            <w:tcMar>
              <w:top w:type="dxa" w:w="60"/>
              <w:left w:type="dxa" w:w="90"/>
              <w:bottom w:type="dxa" w:w="60"/>
              <w:right w:type="dxa" w:w="90"/>
            </w:tcMar>
          </w:tcPr>
          <w:p>
            <w:pPr>
              <w:spacing w:after="0" w:line="258"/>
            </w:pPr>
            <w:r>
              <w:rPr>
                <w:color w:val="000000"/>
                <w:sz w:val="20"/>
                <w:szCs w:val="20"/>
              </w:rPr>
              <w:t xml:space="preserve">Agua Purificada Befine</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Proyecto</w:t>
            </w:r>
          </w:p>
        </w:tc>
        <w:tc>
          <w:tcPr>
            <w:tcW w:type="dxa" w:w="6160"/>
            <w:shd w:fill="F2F5FB" w:color="auto" w:val="clear"/>
            <w:tcMar>
              <w:top w:type="dxa" w:w="60"/>
              <w:left w:type="dxa" w:w="90"/>
              <w:bottom w:type="dxa" w:w="60"/>
              <w:right w:type="dxa" w:w="90"/>
            </w:tcMar>
          </w:tcPr>
          <w:p>
            <w:pPr>
              <w:spacing w:after="0" w:line="258"/>
            </w:pPr>
            <w:r>
              <w:rPr>
                <w:color w:val="000000"/>
                <w:sz w:val="20"/>
                <w:szCs w:val="20"/>
              </w:rPr>
              <w:t xml:space="preserve">Befine Store — Plataforma de comercio electrónico propia (migración desde Shopify)</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Empresa ejecutora</w:t>
            </w:r>
          </w:p>
        </w:tc>
        <w:tc>
          <w:tcPr>
            <w:tcW w:type="dxa" w:w="6160"/>
            <w:shd w:fill="FFFFFF" w:color="auto" w:val="clear"/>
            <w:tcMar>
              <w:top w:type="dxa" w:w="60"/>
              <w:left w:type="dxa" w:w="90"/>
              <w:bottom w:type="dxa" w:w="60"/>
              <w:right w:type="dxa" w:w="90"/>
            </w:tcMar>
          </w:tcPr>
          <w:p>
            <w:pPr>
              <w:spacing w:after="0" w:line="258"/>
            </w:pPr>
            <w:r>
              <w:rPr>
                <w:color w:val="000000"/>
                <w:sz w:val="20"/>
                <w:szCs w:val="20"/>
              </w:rPr>
              <w:t xml:space="preserve">Plaxi Solutions (Grupo N3)</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Fecha de preparación</w:t>
            </w:r>
          </w:p>
        </w:tc>
        <w:tc>
          <w:tcPr>
            <w:tcW w:type="dxa" w:w="6160"/>
            <w:shd w:fill="F2F5FB" w:color="auto" w:val="clear"/>
            <w:tcMar>
              <w:top w:type="dxa" w:w="60"/>
              <w:left w:type="dxa" w:w="90"/>
              <w:bottom w:type="dxa" w:w="60"/>
              <w:right w:type="dxa" w:w="90"/>
            </w:tcMar>
          </w:tcPr>
          <w:p>
            <w:pPr>
              <w:spacing w:after="0" w:line="258"/>
            </w:pPr>
            <w:r>
              <w:rPr>
                <w:color w:val="000000"/>
                <w:sz w:val="20"/>
                <w:szCs w:val="20"/>
              </w:rPr>
              <w:t xml:space="preserve">24 de agosto de 2026 (act. 9 de octubre de 2026)</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Cliente</w:t>
            </w:r>
          </w:p>
        </w:tc>
        <w:tc>
          <w:tcPr>
            <w:tcW w:type="dxa" w:w="6160"/>
            <w:shd w:fill="FFFFFF" w:color="auto" w:val="clear"/>
            <w:tcMar>
              <w:top w:type="dxa" w:w="60"/>
              <w:left w:type="dxa" w:w="90"/>
              <w:bottom w:type="dxa" w:w="60"/>
              <w:right w:type="dxa" w:w="90"/>
            </w:tcMar>
          </w:tcPr>
          <w:p>
            <w:pPr>
              <w:spacing w:after="0" w:line="258"/>
            </w:pPr>
            <w:r>
              <w:rPr>
                <w:color w:val="000000"/>
                <w:sz w:val="20"/>
                <w:szCs w:val="20"/>
              </w:rPr>
              <w:t xml:space="preserve">Agua Purificada Befine (representado por Iván Rodríguez)</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Patrocinador principal</w:t>
            </w:r>
          </w:p>
        </w:tc>
        <w:tc>
          <w:tcPr>
            <w:tcW w:type="dxa" w:w="6160"/>
            <w:shd w:fill="F2F5FB" w:color="auto" w:val="clear"/>
            <w:tcMar>
              <w:top w:type="dxa" w:w="60"/>
              <w:left w:type="dxa" w:w="90"/>
              <w:bottom w:type="dxa" w:w="60"/>
              <w:right w:type="dxa" w:w="90"/>
            </w:tcMar>
          </w:tcPr>
          <w:p>
            <w:pPr>
              <w:spacing w:after="0" w:line="258"/>
            </w:pPr>
            <w:r>
              <w:rPr>
                <w:color w:val="000000"/>
                <w:sz w:val="20"/>
                <w:szCs w:val="20"/>
              </w:rPr>
              <w:t xml:space="preserve">Iván Rodríguez — Dueño y Gerente General de Befine</w:t>
            </w:r>
          </w:p>
        </w:tc>
      </w:tr>
      <w:tr>
        <w:tc>
          <w:tcPr>
            <w:tcW w:type="dxa" w:w="3200"/>
            <w:shd w:fill="DDE3F0" w:color="auto" w:val="clear"/>
            <w:tcMar>
              <w:top w:type="dxa" w:w="60"/>
              <w:left w:type="dxa" w:w="90"/>
              <w:bottom w:type="dxa" w:w="60"/>
              <w:right w:type="dxa" w:w="90"/>
            </w:tcMar>
          </w:tcPr>
          <w:p>
            <w:pPr>
              <w:spacing w:after="0" w:line="258"/>
            </w:pPr>
            <w:r>
              <w:rPr>
                <w:b/>
                <w:bCs/>
                <w:color w:val="000000"/>
                <w:sz w:val="20"/>
                <w:szCs w:val="20"/>
              </w:rPr>
              <w:t xml:space="preserve">Gerente de proyecto</w:t>
            </w:r>
          </w:p>
        </w:tc>
        <w:tc>
          <w:tcPr>
            <w:tcW w:type="dxa" w:w="6160"/>
            <w:shd w:fill="FFFFFF" w:color="auto" w:val="clear"/>
            <w:tcMar>
              <w:top w:type="dxa" w:w="60"/>
              <w:left w:type="dxa" w:w="90"/>
              <w:bottom w:type="dxa" w:w="60"/>
              <w:right w:type="dxa" w:w="90"/>
            </w:tcMar>
          </w:tcPr>
          <w:p>
            <w:pPr>
              <w:spacing w:after="0" w:line="258"/>
            </w:pPr>
            <w:r>
              <w:rPr>
                <w:color w:val="000000"/>
                <w:sz w:val="20"/>
                <w:szCs w:val="20"/>
              </w:rPr>
              <w:t xml:space="preserve">Grupo N3 — liderazgo rotativo por sprint (Iván Rodríguez, Carlos Fuentes, Felipe Moraga)</w:t>
            </w:r>
          </w:p>
        </w:tc>
      </w:tr>
    </w:tbl>
    <w:p>
      <w:pPr>
        <w:pStyle w:val="Heading1"/>
        <w:spacing w:after="110" w:before="260"/>
      </w:pPr>
      <w:r>
        <w:rPr>
          <w:b/>
          <w:bCs/>
          <w:color w:val="1F3864"/>
          <w:sz w:val="26"/>
          <w:szCs w:val="26"/>
        </w:rPr>
        <w:t xml:space="preserve">Propósito y justificación del proyecto</w:t>
      </w:r>
    </w:p>
    <w:p>
      <w:pPr>
        <w:spacing w:after="120" w:line="276"/>
      </w:pPr>
      <w:r>
        <w:rPr>
          <w:sz w:val="21"/>
          <w:szCs w:val="21"/>
        </w:rPr>
        <w:t xml:space="preserve">Agua Purificada Befine es una microempresa chilena de distribución de agua purificada a domicilio, ubicada en Quilicura, con cinco años de operación, alrededor de 450 clientes activos y cerca de 1.000 entregas mensuales. Actualmente su tienda funciona sobre Shopify, un servicio SaaS de pago que impone costos recurrentes y limita la personalización de la experiencia de compra y de la gestión administrativa, además de mantener la información de clientes y pedidos dispersa entre WhatsApp y la propia tienda. Este proyecto se justifica porque permite eliminar el costo recurrente de Shopify, mejorar la experiencia de compra en móvil, automatizar la emisión de documentos tributarios y habilitar la delegación de la operación del negocio mediante un panel de administración propio, aportando además evidencia real y medible para el perfil de egreso de Ingeniería en Informática del equipo.</w:t>
      </w:r>
    </w:p>
    <w:p>
      <w:pPr>
        <w:pStyle w:val="Heading1"/>
        <w:spacing w:after="110" w:before="260"/>
      </w:pPr>
      <w:r>
        <w:rPr>
          <w:b/>
          <w:bCs/>
          <w:color w:val="1F3864"/>
          <w:sz w:val="26"/>
          <w:szCs w:val="26"/>
        </w:rPr>
        <w:t xml:space="preserve">Descripción del proyecto y entregables</w:t>
      </w:r>
    </w:p>
    <w:p>
      <w:pPr>
        <w:spacing w:after="120" w:line="276"/>
      </w:pPr>
      <w:r>
        <w:rPr>
          <w:sz w:val="21"/>
          <w:szCs w:val="21"/>
        </w:rPr>
        <w:t xml:space="preserve">El proyecto consiste en diseñar y desarrollar una plataforma de comercio electrónico propia con </w:t>
      </w:r>
      <w:r>
        <w:rPr>
          <w:b/>
          <w:bCs/>
          <w:sz w:val="21"/>
          <w:szCs w:val="21"/>
        </w:rPr>
        <w:t xml:space="preserve">HTML5, CSS3 y JavaScript (stack web nativo)</w:t>
      </w:r>
      <w:r>
        <w:rPr>
          <w:sz w:val="21"/>
          <w:szCs w:val="21"/>
        </w:rPr>
        <w:t xml:space="preserve">, priorizando la versión web mobile-first y responsiva (con opción de PWA), respaldada por una base de datos relacional en PostgreSQL gestionada mediante Supabase (autenticación y Edge Functions), que reemplace a Shopify. La cobertura móvil se entrega mediante la web responsiva / PWA; una eventual aplicación móvil nativa dedicada queda fuera del alcance de este proyecto de título. </w:t>
      </w:r>
      <w:r>
        <w:rPr>
          <w:i/>
          <w:iCs/>
          <w:color w:val="595959"/>
          <w:sz w:val="19"/>
          <w:szCs w:val="19"/>
        </w:rPr>
        <w:t xml:space="preserve">(Tecnología de frontend actualizada conforme a la SC-02.)</w:t>
      </w:r>
    </w:p>
    <w:p>
      <w:pPr>
        <w:spacing w:after="60" w:line="276"/>
      </w:pPr>
      <w:r>
        <w:rPr>
          <w:b/>
          <w:bCs/>
          <w:sz w:val="21"/>
          <w:szCs w:val="21"/>
        </w:rPr>
        <w:t xml:space="preserve">Entregables principales:</w:t>
      </w:r>
    </w:p>
    <w:p>
      <w:pPr>
        <w:pStyle w:val="ListParagraph"/>
        <w:numPr>
          <w:ilvl w:val="0"/>
          <w:numId w:val="1"/>
        </w:numPr>
        <w:spacing w:after="60" w:line="270"/>
      </w:pPr>
      <w:r>
        <w:rPr>
          <w:sz w:val="21"/>
          <w:szCs w:val="21"/>
        </w:rPr>
        <w:t xml:space="preserve">Landing page (inicio, catálogo con variantes, quiénes somos) con compra en línea.</w:t>
      </w:r>
    </w:p>
    <w:p>
      <w:pPr>
        <w:pStyle w:val="ListParagraph"/>
        <w:numPr>
          <w:ilvl w:val="0"/>
          <w:numId w:val="1"/>
        </w:numPr>
        <w:spacing w:after="60" w:line="270"/>
      </w:pPr>
      <w:r>
        <w:rPr>
          <w:sz w:val="21"/>
          <w:szCs w:val="21"/>
        </w:rPr>
        <w:t xml:space="preserve">Panel de administración (pedidos y estados, envío por zona, clientes, descuentos, políticas legales, informes de venta).</w:t>
      </w:r>
    </w:p>
    <w:p>
      <w:pPr>
        <w:pStyle w:val="ListParagraph"/>
        <w:numPr>
          <w:ilvl w:val="0"/>
          <w:numId w:val="1"/>
        </w:numPr>
        <w:spacing w:after="60" w:line="270"/>
      </w:pPr>
      <w:r>
        <w:rPr>
          <w:sz w:val="21"/>
          <w:szCs w:val="21"/>
        </w:rPr>
        <w:t xml:space="preserve">Sistema de fidelización por puntos y descuentos por metas.</w:t>
      </w:r>
    </w:p>
    <w:p>
      <w:pPr>
        <w:pStyle w:val="ListParagraph"/>
        <w:numPr>
          <w:ilvl w:val="0"/>
          <w:numId w:val="1"/>
        </w:numPr>
        <w:spacing w:after="60" w:line="270"/>
      </w:pPr>
      <w:r>
        <w:rPr>
          <w:sz w:val="21"/>
          <w:szCs w:val="21"/>
        </w:rPr>
        <w:t xml:space="preserve">Integración de cobro en línea con Mercado Pago.</w:t>
      </w:r>
    </w:p>
    <w:p>
      <w:pPr>
        <w:pStyle w:val="ListParagraph"/>
        <w:numPr>
          <w:ilvl w:val="0"/>
          <w:numId w:val="1"/>
        </w:numPr>
        <w:spacing w:after="60" w:line="270"/>
      </w:pPr>
      <w:r>
        <w:rPr>
          <w:sz w:val="21"/>
          <w:szCs w:val="21"/>
        </w:rPr>
        <w:t xml:space="preserve">Emisión automática de boletas y facturas electrónicas mediante la API de OpenFactura.</w:t>
      </w:r>
    </w:p>
    <w:p>
      <w:pPr>
        <w:pStyle w:val="ListParagraph"/>
        <w:numPr>
          <w:ilvl w:val="0"/>
          <w:numId w:val="1"/>
        </w:numPr>
        <w:spacing w:after="60" w:line="270"/>
      </w:pPr>
      <w:r>
        <w:rPr>
          <w:sz w:val="21"/>
          <w:szCs w:val="21"/>
        </w:rPr>
        <w:t xml:space="preserve">Documentación técnica y manual de usuario (videos tutoriales cortos como material adicional, si el tiempo lo permite).</w:t>
      </w:r>
    </w:p>
    <w:p>
      <w:pPr>
        <w:pStyle w:val="ListParagraph"/>
        <w:numPr>
          <w:ilvl w:val="0"/>
          <w:numId w:val="1"/>
        </w:numPr>
        <w:spacing w:after="60" w:line="270"/>
      </w:pPr>
      <w:r>
        <w:rPr>
          <w:sz w:val="21"/>
          <w:szCs w:val="21"/>
        </w:rPr>
        <w:t xml:space="preserve">Plataforma desplegada en ambiente productivo.</w:t>
      </w:r>
    </w:p>
    <w:p>
      <w:pPr>
        <w:pStyle w:val="Heading1"/>
        <w:spacing w:after="110" w:before="260"/>
      </w:pPr>
      <w:r>
        <w:rPr>
          <w:b/>
          <w:bCs/>
          <w:color w:val="1F3864"/>
          <w:sz w:val="26"/>
          <w:szCs w:val="26"/>
        </w:rPr>
        <w:t xml:space="preserve">Objetivos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1F3864" w:color="auto" w:val="clear"/>
            <w:tcMar>
              <w:top w:type="dxa" w:w="60"/>
              <w:left w:type="dxa" w:w="90"/>
              <w:bottom w:type="dxa" w:w="60"/>
              <w:right w:type="dxa" w:w="90"/>
            </w:tcMar>
          </w:tcPr>
          <w:p>
            <w:pPr>
              <w:spacing w:after="0" w:line="258"/>
            </w:pPr>
            <w:r>
              <w:rPr>
                <w:b/>
                <w:bCs/>
                <w:color w:val="FFFFFF"/>
                <w:sz w:val="20"/>
                <w:szCs w:val="20"/>
              </w:rPr>
              <w:t xml:space="preserve">Objetivo</w:t>
            </w:r>
          </w:p>
        </w:tc>
        <w:tc>
          <w:tcPr>
            <w:tcW w:type="dxa" w:w="6760"/>
            <w:shd w:fill="1F3864" w:color="auto" w:val="clear"/>
            <w:tcMar>
              <w:top w:type="dxa" w:w="60"/>
              <w:left w:type="dxa" w:w="90"/>
              <w:bottom w:type="dxa" w:w="60"/>
              <w:right w:type="dxa" w:w="90"/>
            </w:tcMar>
          </w:tcPr>
          <w:p>
            <w:pPr>
              <w:spacing w:after="0" w:line="258"/>
            </w:pPr>
            <w:r>
              <w:rPr>
                <w:b/>
                <w:bCs/>
                <w:color w:val="FFFFFF"/>
                <w:sz w:val="20"/>
                <w:szCs w:val="20"/>
              </w:rPr>
              <w:t xml:space="preserve">Indicador de éxito</w:t>
            </w:r>
          </w:p>
        </w:tc>
      </w:tr>
      <w:tr>
        <w:tc>
          <w:tcPr>
            <w:tcW w:type="dxa" w:w="2600"/>
            <w:shd w:fill="DDE3F0" w:color="auto" w:val="clear"/>
            <w:tcMar>
              <w:top w:type="dxa" w:w="60"/>
              <w:left w:type="dxa" w:w="90"/>
              <w:bottom w:type="dxa" w:w="60"/>
              <w:right w:type="dxa" w:w="90"/>
            </w:tcMar>
          </w:tcPr>
          <w:p>
            <w:pPr>
              <w:spacing w:after="0" w:line="258"/>
            </w:pPr>
            <w:r>
              <w:rPr>
                <w:b/>
                <w:bCs/>
                <w:color w:val="000000"/>
                <w:sz w:val="20"/>
                <w:szCs w:val="20"/>
              </w:rPr>
              <w:t xml:space="preserve">ALCANCE</w:t>
            </w:r>
          </w:p>
        </w:tc>
        <w:tc>
          <w:tcPr>
            <w:tcW w:type="dxa" w:w="6760"/>
            <w:shd w:fill="DDE3F0" w:color="auto" w:val="clear"/>
            <w:tcMar>
              <w:top w:type="dxa" w:w="60"/>
              <w:left w:type="dxa" w:w="90"/>
              <w:bottom w:type="dxa" w:w="60"/>
              <w:right w:type="dxa" w:w="90"/>
            </w:tcMar>
          </w:tcPr>
          <w:p>
            <w:pPr>
              <w:spacing w:after="0" w:line="258"/>
            </w:pPr>
            <w:r>
              <w:rPr>
                <w:color w:val="000000"/>
                <w:sz w:val="20"/>
                <w:szCs w:val="20"/>
              </w:rPr>
              <w:t xml:space="preserve"/>
            </w:r>
          </w:p>
        </w:tc>
      </w:tr>
      <w:tr>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Implementar una plataforma propia (landing + panel de administración) que reemplace a Shopify, incluyendo fidelización por puntos, pagos y facturación electrónica.</w:t>
            </w:r>
          </w:p>
        </w:tc>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Landing page, panel de administración, fidelización, Mercado Pago y OpenFactura desplegados y funcionales al cierre del proyecto.</w:t>
            </w:r>
          </w:p>
        </w:tc>
      </w:tr>
      <w:tr>
        <w:tc>
          <w:tcPr>
            <w:tcW w:type="dxa" w:w="2600"/>
            <w:shd w:fill="DDE3F0" w:color="auto" w:val="clear"/>
            <w:tcMar>
              <w:top w:type="dxa" w:w="60"/>
              <w:left w:type="dxa" w:w="90"/>
              <w:bottom w:type="dxa" w:w="60"/>
              <w:right w:type="dxa" w:w="90"/>
            </w:tcMar>
          </w:tcPr>
          <w:p>
            <w:pPr>
              <w:spacing w:after="0" w:line="258"/>
            </w:pPr>
            <w:r>
              <w:rPr>
                <w:b/>
                <w:bCs/>
                <w:color w:val="000000"/>
                <w:sz w:val="20"/>
                <w:szCs w:val="20"/>
              </w:rPr>
              <w:t xml:space="preserve">CRONOGRAMA (TIEMPO)</w:t>
            </w:r>
          </w:p>
        </w:tc>
        <w:tc>
          <w:tcPr>
            <w:tcW w:type="dxa" w:w="6760"/>
            <w:shd w:fill="DDE3F0" w:color="auto" w:val="clear"/>
            <w:tcMar>
              <w:top w:type="dxa" w:w="60"/>
              <w:left w:type="dxa" w:w="90"/>
              <w:bottom w:type="dxa" w:w="60"/>
              <w:right w:type="dxa" w:w="90"/>
            </w:tcMar>
          </w:tcPr>
          <w:p>
            <w:pPr>
              <w:spacing w:after="0" w:line="258"/>
            </w:pPr>
            <w:r>
              <w:rPr>
                <w:color w:val="000000"/>
                <w:sz w:val="20"/>
                <w:szCs w:val="20"/>
              </w:rPr>
              <w:t xml:space="preserve"/>
            </w:r>
          </w:p>
        </w:tc>
      </w:tr>
      <w:tr>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Completar el proyecto dentro de las 18 semanas del semestre 2026-2 (10-ago al 12-dic-2026).</w:t>
            </w:r>
          </w:p>
        </w:tc>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Entrega final y presentación aprobadas en semana 17-18 (30-nov al 12-dic-2026).</w:t>
            </w:r>
          </w:p>
        </w:tc>
      </w:tr>
      <w:tr>
        <w:tc>
          <w:tcPr>
            <w:tcW w:type="dxa" w:w="2600"/>
            <w:shd w:fill="DDE3F0" w:color="auto" w:val="clear"/>
            <w:tcMar>
              <w:top w:type="dxa" w:w="60"/>
              <w:left w:type="dxa" w:w="90"/>
              <w:bottom w:type="dxa" w:w="60"/>
              <w:right w:type="dxa" w:w="90"/>
            </w:tcMar>
          </w:tcPr>
          <w:p>
            <w:pPr>
              <w:spacing w:after="0" w:line="258"/>
            </w:pPr>
            <w:r>
              <w:rPr>
                <w:b/>
                <w:bCs/>
                <w:color w:val="000000"/>
                <w:sz w:val="20"/>
                <w:szCs w:val="20"/>
              </w:rPr>
              <w:t xml:space="preserve">COSTO</w:t>
            </w:r>
          </w:p>
        </w:tc>
        <w:tc>
          <w:tcPr>
            <w:tcW w:type="dxa" w:w="6760"/>
            <w:shd w:fill="DDE3F0" w:color="auto" w:val="clear"/>
            <w:tcMar>
              <w:top w:type="dxa" w:w="60"/>
              <w:left w:type="dxa" w:w="90"/>
              <w:bottom w:type="dxa" w:w="60"/>
              <w:right w:type="dxa" w:w="90"/>
            </w:tcMar>
          </w:tcPr>
          <w:p>
            <w:pPr>
              <w:spacing w:after="0" w:line="258"/>
            </w:pPr>
            <w:r>
              <w:rPr>
                <w:color w:val="000000"/>
                <w:sz w:val="20"/>
                <w:szCs w:val="20"/>
              </w:rPr>
              <w:t xml:space="preserve"/>
            </w:r>
          </w:p>
        </w:tc>
      </w:tr>
      <w:tr>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Mantener el proyecto dentro de un presupuesto de $508.795 CLP anuales (incluye 15% de contingencia), correspondiente a herramientas e infraestructura; Plaxi Solutions no cobra horas-hombre por desarrollo, y cobra $90.000 CLP mensuales por mantención una vez entregada la plataforma.</w:t>
            </w:r>
          </w:p>
        </w:tc>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Costo real ejecutado dentro de la reserva de contingencia (15%) sobre el presupuesto base anual de $442.430 CLP.</w:t>
            </w:r>
          </w:p>
        </w:tc>
      </w:tr>
      <w:tr>
        <w:tc>
          <w:tcPr>
            <w:tcW w:type="dxa" w:w="2600"/>
            <w:shd w:fill="DDE3F0" w:color="auto" w:val="clear"/>
            <w:tcMar>
              <w:top w:type="dxa" w:w="60"/>
              <w:left w:type="dxa" w:w="90"/>
              <w:bottom w:type="dxa" w:w="60"/>
              <w:right w:type="dxa" w:w="90"/>
            </w:tcMar>
          </w:tcPr>
          <w:p>
            <w:pPr>
              <w:spacing w:after="0" w:line="258"/>
            </w:pPr>
            <w:r>
              <w:rPr>
                <w:b/>
                <w:bCs/>
                <w:color w:val="000000"/>
                <w:sz w:val="20"/>
                <w:szCs w:val="20"/>
              </w:rPr>
              <w:t xml:space="preserve">CALIDAD</w:t>
            </w:r>
          </w:p>
        </w:tc>
        <w:tc>
          <w:tcPr>
            <w:tcW w:type="dxa" w:w="6760"/>
            <w:shd w:fill="DDE3F0" w:color="auto" w:val="clear"/>
            <w:tcMar>
              <w:top w:type="dxa" w:w="60"/>
              <w:left w:type="dxa" w:w="90"/>
              <w:bottom w:type="dxa" w:w="60"/>
              <w:right w:type="dxa" w:w="90"/>
            </w:tcMar>
          </w:tcPr>
          <w:p>
            <w:pPr>
              <w:spacing w:after="0" w:line="258"/>
            </w:pPr>
            <w:r>
              <w:rPr>
                <w:color w:val="000000"/>
                <w:sz w:val="20"/>
                <w:szCs w:val="20"/>
              </w:rPr>
              <w:t xml:space="preserve"/>
            </w:r>
          </w:p>
        </w:tc>
      </w:tr>
      <w:tr>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Garantizar una plataforma funcional, segura (RLS, HTTPS) y validada con pruebas funcionales y de integración.</w:t>
            </w:r>
          </w:p>
        </w:tc>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100% de los casos de prueba críticos (pagos, facturación, pedidos) ejecutados y aprobados antes del Go-Live.</w:t>
            </w:r>
          </w:p>
        </w:tc>
      </w:tr>
      <w:tr>
        <w:tc>
          <w:tcPr>
            <w:tcW w:type="dxa" w:w="2600"/>
            <w:shd w:fill="DDE3F0" w:color="auto" w:val="clear"/>
            <w:tcMar>
              <w:top w:type="dxa" w:w="60"/>
              <w:left w:type="dxa" w:w="90"/>
              <w:bottom w:type="dxa" w:w="60"/>
              <w:right w:type="dxa" w:w="90"/>
            </w:tcMar>
          </w:tcPr>
          <w:p>
            <w:pPr>
              <w:spacing w:after="0" w:line="258"/>
            </w:pPr>
            <w:r>
              <w:rPr>
                <w:b/>
                <w:bCs/>
                <w:color w:val="000000"/>
                <w:sz w:val="20"/>
                <w:szCs w:val="20"/>
              </w:rPr>
              <w:t xml:space="preserve">OTROS</w:t>
            </w:r>
          </w:p>
        </w:tc>
        <w:tc>
          <w:tcPr>
            <w:tcW w:type="dxa" w:w="6760"/>
            <w:shd w:fill="DDE3F0" w:color="auto" w:val="clear"/>
            <w:tcMar>
              <w:top w:type="dxa" w:w="60"/>
              <w:left w:type="dxa" w:w="90"/>
              <w:bottom w:type="dxa" w:w="60"/>
              <w:right w:type="dxa" w:w="90"/>
            </w:tcMar>
          </w:tcPr>
          <w:p>
            <w:pPr>
              <w:spacing w:after="0" w:line="258"/>
            </w:pPr>
            <w:r>
              <w:rPr>
                <w:color w:val="000000"/>
                <w:sz w:val="20"/>
                <w:szCs w:val="20"/>
              </w:rPr>
              <w:t xml:space="preserve"/>
            </w:r>
          </w:p>
        </w:tc>
      </w:tr>
      <w:tr>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Reducir el costo recurrente de Shopify para Befine.</w:t>
            </w:r>
          </w:p>
        </w:tc>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Eliminación de la suscripción mensual a Shopify tras el Go-Live.</w:t>
            </w:r>
          </w:p>
        </w:tc>
      </w:tr>
      <w:tr>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Aumentar la adopción digital y fidelización de los ~450 clientes activos de Befine.</w:t>
            </w:r>
          </w:p>
        </w:tc>
        <w:tc>
          <w:tcPr>
            <w:tcW w:type="dxa" w:w="67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Al menos el 10% de los clientes activos registrados en el sistema de puntos a los 30 días del Go-Live.</w:t>
            </w:r>
          </w:p>
        </w:tc>
      </w:tr>
    </w:tbl>
    <w:p>
      <w:pPr>
        <w:pStyle w:val="Heading1"/>
        <w:spacing w:after="110" w:before="260"/>
      </w:pPr>
      <w:r>
        <w:rPr>
          <w:b/>
          <w:bCs/>
          <w:color w:val="1F3864"/>
          <w:sz w:val="26"/>
          <w:szCs w:val="26"/>
        </w:rPr>
        <w:t xml:space="preserve">Riesgos iniciales de alto nivel</w:t>
      </w:r>
    </w:p>
    <w:p>
      <w:pPr>
        <w:spacing w:after="120" w:line="276"/>
      </w:pPr>
      <w:r>
        <w:rPr>
          <w:sz w:val="21"/>
          <w:szCs w:val="21"/>
        </w:rPr>
        <w:t xml:space="preserve">La integración con facturación electrónica (OpenFactura) requiere pruebas en ambiente de certificación, con riesgo de demoras por validaciones tributarias del SII. La disponibilidad de los tres integrantes es acotada por la modalidad vespertina de estudio, lo que puede afectar el cumplimiento de sprints. Existe el riesgo de ampliar el alcance (scope creep), dado que el negocio real puede solicitar funciones adicionales durante el desarrollo. La integración entre el frontend HTML/CSS/JS y el SDK de JavaScript de Supabase implica una curva de aprendizaje acotada, mitigada mediante un prototipo funcional temprano. </w:t>
      </w:r>
      <w:r>
        <w:rPr>
          <w:i/>
          <w:iCs/>
          <w:color w:val="595959"/>
          <w:sz w:val="19"/>
          <w:szCs w:val="19"/>
        </w:rPr>
        <w:t xml:space="preserve">(El riesgo de curva de aprendizaje de Flutter/Dart se retira conforme a la SC-02.)</w:t>
      </w:r>
    </w:p>
    <w:p>
      <w:pPr>
        <w:pStyle w:val="Heading1"/>
        <w:spacing w:after="110" w:before="260"/>
      </w:pPr>
      <w:r>
        <w:rPr>
          <w:b/>
          <w:bCs/>
          <w:color w:val="1F3864"/>
          <w:sz w:val="26"/>
          <w:szCs w:val="26"/>
        </w:rPr>
        <w:t xml:space="preserve">Restricciones</w:t>
      </w:r>
    </w:p>
    <w:p>
      <w:pPr>
        <w:spacing w:after="120" w:line="276"/>
      </w:pPr>
      <w:r>
        <w:rPr>
          <w:sz w:val="21"/>
          <w:szCs w:val="21"/>
        </w:rPr>
        <w:t xml:space="preserve">El frontend de la plataforma se desarrolla con tecnologías web de código abierto y sin costo de licencia (HTML5, CSS3, JavaScript) sobre el repositorio GitHub del equipo. Los servicios necesarios para emitir documentos tributarios —OpenFactura y el certificado digital de firma electrónica del SII— son de pago y financiados por el cliente (Agua Purificada Befine), conforme al presupuesto aprobado (ver Plan de Gestión de Costos y SC-01); por decisión del cliente, Supabase se utiliza en su plan gratuito (SC-04). El proyecto debe completarse dentro de las 18 semanas del semestre académico 2026-2, sin posibilidad de extensión de plazo. </w:t>
      </w:r>
      <w:r>
        <w:rPr>
          <w:i/>
          <w:iCs/>
          <w:color w:val="595959"/>
          <w:sz w:val="19"/>
          <w:szCs w:val="19"/>
        </w:rPr>
        <w:t xml:space="preserve">(Restricción actualizada conforme a la SC-01 —presupuesto—, la SC-02 —frontend— y la SC-04 —plan de Supabase—.)</w:t>
      </w:r>
    </w:p>
    <w:p>
      <w:pPr>
        <w:pStyle w:val="Heading1"/>
        <w:spacing w:after="110" w:before="260"/>
      </w:pPr>
      <w:r>
        <w:rPr>
          <w:b/>
          <w:bCs/>
          <w:color w:val="1F3864"/>
          <w:sz w:val="26"/>
          <w:szCs w:val="26"/>
        </w:rPr>
        <w:t xml:space="preserve">Dependencias</w:t>
      </w:r>
    </w:p>
    <w:p>
      <w:pPr>
        <w:spacing w:after="120" w:line="276"/>
      </w:pPr>
      <w:r>
        <w:rPr>
          <w:sz w:val="21"/>
          <w:szCs w:val="21"/>
        </w:rPr>
        <w:t xml:space="preserve">El proyecto depende de la obtención oportuna de credenciales de prueba y producción de Mercado Pago y de OpenFactura (Haulmer). Depende también de la disponibilidad de Iván Rodríguez para validar reglas de negocio reales de Befine (envío por zona, descuentos, catálogo) y de la migración de datos existentes desde Shopify.</w:t>
      </w:r>
    </w:p>
    <w:p>
      <w:pPr>
        <w:pStyle w:val="Heading1"/>
        <w:spacing w:after="110" w:before="260"/>
      </w:pPr>
      <w:r>
        <w:rPr>
          <w:b/>
          <w:bCs/>
          <w:color w:val="1F3864"/>
          <w:sz w:val="26"/>
          <w:szCs w:val="26"/>
        </w:rPr>
        <w:t xml:space="preserve">Cronograma de hitos principales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760"/>
        <w:gridCol w:w="2600"/>
      </w:tblGrid>
      <w:tr>
        <w:trPr>
          <w:tblHeader/>
        </w:trPr>
        <w:tc>
          <w:tcPr>
            <w:tcW w:type="dxa" w:w="6760"/>
            <w:shd w:fill="1F3864" w:color="auto" w:val="clear"/>
            <w:tcMar>
              <w:top w:type="dxa" w:w="60"/>
              <w:left w:type="dxa" w:w="90"/>
              <w:bottom w:type="dxa" w:w="60"/>
              <w:right w:type="dxa" w:w="90"/>
            </w:tcMar>
          </w:tcPr>
          <w:p>
            <w:pPr>
              <w:spacing w:after="0" w:line="258"/>
            </w:pPr>
            <w:r>
              <w:rPr>
                <w:b/>
                <w:bCs/>
                <w:color w:val="FFFFFF"/>
                <w:sz w:val="20"/>
                <w:szCs w:val="20"/>
              </w:rPr>
              <w:t xml:space="preserve">Hito</w:t>
            </w:r>
          </w:p>
        </w:tc>
        <w:tc>
          <w:tcPr>
            <w:tcW w:type="dxa" w:w="2600"/>
            <w:shd w:fill="1F3864" w:color="auto" w:val="clear"/>
            <w:tcMar>
              <w:top w:type="dxa" w:w="60"/>
              <w:left w:type="dxa" w:w="90"/>
              <w:bottom w:type="dxa" w:w="60"/>
              <w:right w:type="dxa" w:w="90"/>
            </w:tcMar>
          </w:tcPr>
          <w:p>
            <w:pPr>
              <w:spacing w:after="0" w:line="258"/>
            </w:pPr>
            <w:r>
              <w:rPr>
                <w:b/>
                <w:bCs/>
                <w:color w:val="FFFFFF"/>
                <w:sz w:val="20"/>
                <w:szCs w:val="20"/>
              </w:rPr>
              <w:t xml:space="preserve">Fecha tope</w:t>
            </w:r>
          </w:p>
        </w:tc>
      </w:tr>
      <w:tr>
        <w:tc>
          <w:tcPr>
            <w:tcW w:type="dxa" w:w="67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Aprobación del Acta de Constitución</w:t>
            </w:r>
          </w:p>
        </w:tc>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22-ago-2026</w:t>
            </w:r>
          </w:p>
        </w:tc>
      </w:tr>
      <w:tr>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Aprobación del Plan de Dirección del Proyecto (planes de gestión)</w:t>
            </w:r>
          </w:p>
        </w:tc>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19-sep-2026</w:t>
            </w:r>
          </w:p>
        </w:tc>
      </w:tr>
      <w:tr>
        <w:tc>
          <w:tcPr>
            <w:tcW w:type="dxa" w:w="67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Fin de sprints de desarrollo (landing, panel, fidelización, pagos, facturación)</w:t>
            </w:r>
          </w:p>
        </w:tc>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14-nov-2026</w:t>
            </w:r>
          </w:p>
        </w:tc>
      </w:tr>
      <w:tr>
        <w:tc>
          <w:tcPr>
            <w:tcW w:type="dxa" w:w="67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Entrega y puesta en marcha (Go-Live)</w:t>
            </w:r>
          </w:p>
        </w:tc>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21-nov-2026</w:t>
            </w:r>
          </w:p>
        </w:tc>
      </w:tr>
      <w:tr>
        <w:tc>
          <w:tcPr>
            <w:tcW w:type="dxa" w:w="67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Entrega final y presentación a comisión</w:t>
            </w:r>
          </w:p>
        </w:tc>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12-dic-2026</w:t>
            </w:r>
          </w:p>
        </w:tc>
      </w:tr>
    </w:tbl>
    <w:p>
      <w:pPr>
        <w:pStyle w:val="Heading1"/>
        <w:spacing w:after="110" w:before="260"/>
      </w:pPr>
      <w:r>
        <w:rPr>
          <w:b/>
          <w:bCs/>
          <w:color w:val="1F3864"/>
          <w:sz w:val="26"/>
          <w:szCs w:val="26"/>
        </w:rPr>
        <w:t xml:space="preserve">Presupuesto inicial asignado</w:t>
      </w:r>
    </w:p>
    <w:p>
      <w:pPr>
        <w:spacing w:after="120" w:line="276"/>
      </w:pPr>
      <w:r>
        <w:rPr>
          <w:sz w:val="21"/>
          <w:szCs w:val="21"/>
        </w:rPr>
        <w:t xml:space="preserve">El proyecto es ejecutado por Plaxi Solutions, empresa de desarrollo de software constituida por los integrantes del Grupo N3 (Iván Rodríguez, Carlos Fuentes y Felipe Moraga). Por corresponder al trabajo de título del equipo, Plaxi Solutions no cobra horas-hombre (HH) durante el desarrollo. El presupuesto corresponde a las herramientas e infraestructura necesarias para operar la plataforma, contratadas en modalidad anual y financiadas por el cliente:</w:t>
      </w:r>
    </w:p>
    <w:p>
      <w:pPr>
        <w:pStyle w:val="ListParagraph"/>
        <w:numPr>
          <w:ilvl w:val="0"/>
          <w:numId w:val="1"/>
        </w:numPr>
        <w:spacing w:after="60" w:line="270"/>
      </w:pPr>
      <w:r>
        <w:rPr>
          <w:sz w:val="21"/>
          <w:szCs w:val="21"/>
        </w:rPr>
        <w:t xml:space="preserve">Dominio web: sin costo adicional; Befine reutiliza su dominio propio ya en uso en Shopify (solo requiere reconfigurar los registros DNS).</w:t>
      </w:r>
    </w:p>
    <w:p>
      <w:pPr>
        <w:pStyle w:val="ListParagraph"/>
        <w:numPr>
          <w:ilvl w:val="0"/>
          <w:numId w:val="1"/>
        </w:numPr>
        <w:spacing w:after="60" w:line="270"/>
      </w:pPr>
      <w:r>
        <w:rPr>
          <w:sz w:val="21"/>
          <w:szCs w:val="21"/>
        </w:rPr>
        <w:t xml:space="preserve">OpenFactura, plan Pyme (facturación electrónica, anual): $360.000 + IVA ≈ $428.400 CLP.</w:t>
      </w:r>
    </w:p>
    <w:p>
      <w:pPr>
        <w:pStyle w:val="ListParagraph"/>
        <w:numPr>
          <w:ilvl w:val="0"/>
          <w:numId w:val="1"/>
        </w:numPr>
        <w:spacing w:after="60" w:line="270"/>
      </w:pPr>
      <w:r>
        <w:rPr>
          <w:sz w:val="21"/>
          <w:szCs w:val="21"/>
        </w:rPr>
        <w:t xml:space="preserve">Certificado digital de firma electrónica (obligatorio ante el SII para emitir DTE, vigencia 1 año): $11.790 + IVA ≈ $14.030 CLP.</w:t>
      </w:r>
    </w:p>
    <w:p>
      <w:pPr>
        <w:pStyle w:val="ListParagraph"/>
        <w:numPr>
          <w:ilvl w:val="0"/>
          <w:numId w:val="1"/>
        </w:numPr>
        <w:spacing w:after="60" w:line="270"/>
      </w:pPr>
      <w:r>
        <w:rPr>
          <w:sz w:val="21"/>
          <w:szCs w:val="21"/>
        </w:rPr>
        <w:t xml:space="preserve">Supabase, plan gratuito: sin costo (SC-04). Su pausa tras una semana de inactividad se mitiga con un ping programado; el paso al plan Pro queda como opción si el negocio crece.</w:t>
      </w:r>
    </w:p>
    <w:p>
      <w:pPr>
        <w:pStyle w:val="ListParagraph"/>
        <w:numPr>
          <w:ilvl w:val="0"/>
          <w:numId w:val="1"/>
        </w:numPr>
        <w:spacing w:after="60" w:line="270"/>
      </w:pPr>
      <w:r>
        <w:rPr>
          <w:sz w:val="21"/>
          <w:szCs w:val="21"/>
        </w:rPr>
        <w:t xml:space="preserve">Mercado Pago: sin costo fijo de integración; cobra comisión por transacción, no forma parte del presupuesto anual.</w:t>
      </w:r>
    </w:p>
    <w:p>
      <w:pPr>
        <w:spacing w:after="120" w:line="276"/>
      </w:pPr>
      <w:r>
        <w:rPr>
          <w:sz w:val="21"/>
          <w:szCs w:val="21"/>
        </w:rPr>
        <w:t xml:space="preserve">Subtotal anual (herramientas e infraestructura): $442.430 CLP. Reserva de contingencia (15%): $66.365 CLP. Total anual estimado: ≈ $508.795 CLP (≈ $42.400 CLP/mes promedio). Adicionalmente, una vez entregada la plataforma, Plaxi Solutions cobrará a Befine una mensualidad de mantención de $90.000 CLP (aprox. 5 horas de soporte mensual), independiente del presupuesto de herramientas. </w:t>
      </w:r>
      <w:r>
        <w:rPr>
          <w:i/>
          <w:iCs/>
          <w:color w:val="595959"/>
          <w:sz w:val="19"/>
          <w:szCs w:val="19"/>
        </w:rPr>
        <w:t xml:space="preserve">Nota: los valores de OpenFactura y del certificado digital son referenciales y deben validarse con las tarifas vigentes antes de la implementación.</w:t>
      </w:r>
    </w:p>
    <w:p>
      <w:pPr>
        <w:pStyle w:val="Heading1"/>
        <w:spacing w:after="110" w:before="260"/>
      </w:pPr>
      <w:r>
        <w:rPr>
          <w:b/>
          <w:bCs/>
          <w:color w:val="1F3864"/>
          <w:sz w:val="26"/>
          <w:szCs w:val="26"/>
        </w:rPr>
        <w:t xml:space="preserve">Lista de interesados (stakeholders)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20"/>
        <w:gridCol w:w="3120"/>
        <w:gridCol w:w="3120"/>
      </w:tblGrid>
      <w:tr>
        <w:trPr>
          <w:tblHeader/>
        </w:trPr>
        <w:tc>
          <w:tcPr>
            <w:tcW w:type="dxa" w:w="3120"/>
            <w:shd w:fill="1F3864" w:color="auto" w:val="clear"/>
            <w:tcMar>
              <w:top w:type="dxa" w:w="60"/>
              <w:left w:type="dxa" w:w="90"/>
              <w:bottom w:type="dxa" w:w="60"/>
              <w:right w:type="dxa" w:w="90"/>
            </w:tcMar>
          </w:tcPr>
          <w:p>
            <w:pPr>
              <w:spacing w:after="0" w:line="258"/>
            </w:pPr>
            <w:r>
              <w:rPr>
                <w:b/>
                <w:bCs/>
                <w:color w:val="FFFFFF"/>
                <w:sz w:val="20"/>
                <w:szCs w:val="20"/>
              </w:rPr>
              <w:t xml:space="preserve">Nombre</w:t>
            </w:r>
          </w:p>
        </w:tc>
        <w:tc>
          <w:tcPr>
            <w:tcW w:type="dxa" w:w="3120"/>
            <w:shd w:fill="1F3864" w:color="auto" w:val="clear"/>
            <w:tcMar>
              <w:top w:type="dxa" w:w="60"/>
              <w:left w:type="dxa" w:w="90"/>
              <w:bottom w:type="dxa" w:w="60"/>
              <w:right w:type="dxa" w:w="90"/>
            </w:tcMar>
          </w:tcPr>
          <w:p>
            <w:pPr>
              <w:spacing w:after="0" w:line="258"/>
            </w:pPr>
            <w:r>
              <w:rPr>
                <w:b/>
                <w:bCs/>
                <w:color w:val="FFFFFF"/>
                <w:sz w:val="20"/>
                <w:szCs w:val="20"/>
              </w:rPr>
              <w:t xml:space="preserve">Cargo</w:t>
            </w:r>
          </w:p>
        </w:tc>
        <w:tc>
          <w:tcPr>
            <w:tcW w:type="dxa" w:w="3120"/>
            <w:shd w:fill="1F3864" w:color="auto" w:val="clear"/>
            <w:tcMar>
              <w:top w:type="dxa" w:w="60"/>
              <w:left w:type="dxa" w:w="90"/>
              <w:bottom w:type="dxa" w:w="60"/>
              <w:right w:type="dxa" w:w="90"/>
            </w:tcMar>
          </w:tcPr>
          <w:p>
            <w:pPr>
              <w:spacing w:after="0" w:line="258"/>
            </w:pPr>
            <w:r>
              <w:rPr>
                <w:b/>
                <w:bCs/>
                <w:color w:val="FFFFFF"/>
                <w:sz w:val="20"/>
                <w:szCs w:val="20"/>
              </w:rPr>
              <w:t xml:space="preserve">Departamento / División</w:t>
            </w:r>
          </w:p>
        </w:tc>
      </w:tr>
      <w:tr>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Iván Rodríguez</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Dueño de Befine / Integrante del equipo (líder rotativo)</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Patrocinador y Desarrollo</w:t>
            </w:r>
          </w:p>
        </w:tc>
      </w:tr>
      <w:tr>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Carlos Fuentes</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Integrante del equipo (líder rotativo)</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Datos e Informes</w:t>
            </w:r>
          </w:p>
        </w:tc>
      </w:tr>
      <w:tr>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Felipe Moraga</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Integrante del equipo (líder rotativo)</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Diseño de interfaz / Frontend</w:t>
            </w:r>
          </w:p>
        </w:tc>
      </w:tr>
      <w:tr>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Docente asignatura Capstone</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Evaluador del Proyecto APT</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Duoc UC</w:t>
            </w:r>
          </w:p>
        </w:tc>
      </w:tr>
      <w:tr>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Clientes de Befine (~450 activos)</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Usuarios finales de la plataforma</w:t>
            </w:r>
          </w:p>
        </w:tc>
        <w:tc>
          <w:tcPr>
            <w:tcW w:type="dxa" w:w="312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Externo</w:t>
            </w:r>
          </w:p>
        </w:tc>
      </w:tr>
      <w:tr>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Personal de reparto/logística de Befine</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Usuario del panel de pedidos</w:t>
            </w:r>
          </w:p>
        </w:tc>
        <w:tc>
          <w:tcPr>
            <w:tcW w:type="dxa" w:w="312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Operaciones</w:t>
            </w:r>
          </w:p>
        </w:tc>
      </w:tr>
    </w:tbl>
    <w:p>
      <w:pPr>
        <w:pStyle w:val="Heading1"/>
        <w:spacing w:after="110" w:before="260"/>
      </w:pPr>
      <w:r>
        <w:rPr>
          <w:b/>
          <w:bCs/>
          <w:color w:val="1F3864"/>
          <w:sz w:val="26"/>
          <w:szCs w:val="26"/>
        </w:rPr>
        <w:t xml:space="preserve">Asignación del gerente de proyecto y niveles de autoridad</w:t>
      </w:r>
    </w:p>
    <w:p>
      <w:pPr>
        <w:spacing w:after="120" w:line="276"/>
      </w:pPr>
      <w:r>
        <w:rPr>
          <w:b/>
          <w:bCs/>
          <w:sz w:val="21"/>
          <w:szCs w:val="21"/>
        </w:rPr>
        <w:t xml:space="preserve">Gerente de proyecto: </w:t>
      </w:r>
      <w:r>
        <w:rPr>
          <w:sz w:val="21"/>
          <w:szCs w:val="21"/>
        </w:rPr>
        <w:t xml:space="preserve">Grupo N3 — liderazgo rotativo por sprint (Iván Rodríguez, Carlos Fuentes, Felipe Moraga), Gestión de Proyectos / TI.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1F3864" w:color="auto" w:val="clear"/>
            <w:tcMar>
              <w:top w:type="dxa" w:w="60"/>
              <w:left w:type="dxa" w:w="90"/>
              <w:bottom w:type="dxa" w:w="60"/>
              <w:right w:type="dxa" w:w="90"/>
            </w:tcMar>
          </w:tcPr>
          <w:p>
            <w:pPr>
              <w:spacing w:after="0" w:line="258"/>
            </w:pPr>
            <w:r>
              <w:rPr>
                <w:b/>
                <w:bCs/>
                <w:color w:val="FFFFFF"/>
                <w:sz w:val="20"/>
                <w:szCs w:val="20"/>
              </w:rPr>
              <w:t xml:space="preserve">Área de autoridad</w:t>
            </w:r>
          </w:p>
        </w:tc>
        <w:tc>
          <w:tcPr>
            <w:tcW w:type="dxa" w:w="6160"/>
            <w:shd w:fill="1F3864" w:color="auto" w:val="clear"/>
            <w:tcMar>
              <w:top w:type="dxa" w:w="60"/>
              <w:left w:type="dxa" w:w="90"/>
              <w:bottom w:type="dxa" w:w="60"/>
              <w:right w:type="dxa" w:w="90"/>
            </w:tcMar>
          </w:tcPr>
          <w:p>
            <w:pPr>
              <w:spacing w:after="0" w:line="258"/>
            </w:pPr>
            <w:r>
              <w:rPr>
                <w:b/>
                <w:bCs/>
                <w:color w:val="FFFFFF"/>
                <w:sz w:val="20"/>
                <w:szCs w:val="20"/>
              </w:rPr>
              <w:t xml:space="preserve">Descripción del nivel de autoridad</w:t>
            </w:r>
          </w:p>
        </w:tc>
      </w:tr>
      <w:tr>
        <w:tc>
          <w:tcPr>
            <w:tcW w:type="dxa" w:w="32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Decisiones de personal (staffing)</w:t>
            </w:r>
          </w:p>
        </w:tc>
        <w:tc>
          <w:tcPr>
            <w:tcW w:type="dxa" w:w="61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El líder de sprint vigente coordina las tareas del equipo; los cambios de rol se acuerdan por consenso de los 3 integrantes.</w:t>
            </w:r>
          </w:p>
        </w:tc>
      </w:tr>
      <w:tr>
        <w:tc>
          <w:tcPr>
            <w:tcW w:type="dxa" w:w="32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Gestión de presupuesto y de sus variaciones</w:t>
            </w:r>
          </w:p>
        </w:tc>
        <w:tc>
          <w:tcPr>
            <w:tcW w:type="dxa" w:w="61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El patrocinador (Iván Rodríguez) financia y autoriza los gastos de suscripción a nombre de Befine; las variaciones se gestionan vía control de cambios.</w:t>
            </w:r>
          </w:p>
        </w:tc>
      </w:tr>
      <w:tr>
        <w:tc>
          <w:tcPr>
            <w:tcW w:type="dxa" w:w="32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Decisiones técnicas</w:t>
            </w:r>
          </w:p>
        </w:tc>
        <w:tc>
          <w:tcPr>
            <w:tcW w:type="dxa" w:w="61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El líder de sprint vigente, junto al integrante responsable del área (datos, frontend o integraciones), decide sobre metodologías y herramientas técnicas.</w:t>
            </w:r>
          </w:p>
        </w:tc>
      </w:tr>
      <w:tr>
        <w:tc>
          <w:tcPr>
            <w:tcW w:type="dxa" w:w="32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Resolución de conflictos</w:t>
            </w:r>
          </w:p>
        </w:tc>
        <w:tc>
          <w:tcPr>
            <w:tcW w:type="dxa" w:w="61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Los conflictos técnicos u operativos se resuelven por consenso del equipo; si no hay acuerdo, se consulta al docente guía.</w:t>
            </w:r>
          </w:p>
        </w:tc>
      </w:tr>
      <w:tr>
        <w:tc>
          <w:tcPr>
            <w:tcW w:type="dxa" w:w="32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Ruta de escalamiento y limitaciones</w:t>
            </w:r>
          </w:p>
        </w:tc>
        <w:tc>
          <w:tcPr>
            <w:tcW w:type="dxa" w:w="61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Decisiones que afecten el alcance, cronograma o presupuesto general deben ser validadas por el patrocinador y, si corresponde, informadas al docente de la asignatura.</w:t>
            </w:r>
          </w:p>
        </w:tc>
      </w:tr>
    </w:tbl>
    <w:p>
      <w:pPr>
        <w:pStyle w:val="Heading1"/>
        <w:spacing w:after="110" w:before="260"/>
      </w:pPr>
      <w:r>
        <w:rPr>
          <w:b/>
          <w:bCs/>
          <w:color w:val="1F3864"/>
          <w:sz w:val="26"/>
          <w:szCs w:val="26"/>
        </w:rPr>
        <w:t xml:space="preserve">Personal y recursos preasignados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line="258"/>
            </w:pPr>
            <w:r>
              <w:rPr>
                <w:b/>
                <w:bCs/>
                <w:color w:val="FFFFFF"/>
                <w:sz w:val="20"/>
                <w:szCs w:val="20"/>
              </w:rPr>
              <w:t xml:space="preserve">Recurso</w:t>
            </w:r>
          </w:p>
        </w:tc>
        <w:tc>
          <w:tcPr>
            <w:tcW w:type="dxa" w:w="4680"/>
            <w:shd w:fill="1F3864" w:color="auto" w:val="clear"/>
            <w:tcMar>
              <w:top w:type="dxa" w:w="60"/>
              <w:left w:type="dxa" w:w="90"/>
              <w:bottom w:type="dxa" w:w="60"/>
              <w:right w:type="dxa" w:w="90"/>
            </w:tcMar>
          </w:tcPr>
          <w:p>
            <w:pPr>
              <w:spacing w:after="0" w:line="258"/>
            </w:pPr>
            <w:r>
              <w:rPr>
                <w:b/>
                <w:bCs/>
                <w:color w:val="FFFFFF"/>
                <w:sz w:val="20"/>
                <w:szCs w:val="20"/>
              </w:rPr>
              <w:t xml:space="preserve">Departamento / División</w:t>
            </w:r>
          </w:p>
        </w:tc>
      </w:tr>
      <w:tr>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Iván Rodríguez</w:t>
            </w:r>
          </w:p>
        </w:tc>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Equipo del proyecto / Patrocinador</w:t>
            </w:r>
          </w:p>
        </w:tc>
      </w:tr>
      <w:tr>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Carlos Fuentes</w:t>
            </w:r>
          </w:p>
        </w:tc>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Equipo del proyecto</w:t>
            </w:r>
          </w:p>
        </w:tc>
      </w:tr>
      <w:tr>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Felipe Moraga</w:t>
            </w:r>
          </w:p>
        </w:tc>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Equipo del proyecto</w:t>
            </w:r>
          </w:p>
        </w:tc>
      </w:tr>
      <w:tr>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Repositorio GitHub (Grupo N3)</w:t>
            </w:r>
          </w:p>
        </w:tc>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Control de versiones / Infraestructura</w:t>
            </w:r>
          </w:p>
        </w:tc>
      </w:tr>
      <w:tr>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Supabase (PostgreSQL, Auth, Edge Functions)</w:t>
            </w:r>
          </w:p>
        </w:tc>
        <w:tc>
          <w:tcPr>
            <w:tcW w:type="dxa" w:w="468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Infraestructura de datos y backend</w:t>
            </w:r>
          </w:p>
        </w:tc>
      </w:tr>
      <w:tr>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HTML5 / CSS3 / JavaScript · Figma</w:t>
            </w:r>
          </w:p>
        </w:tc>
        <w:tc>
          <w:tcPr>
            <w:tcW w:type="dxa" w:w="468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Desarrollo de frontend y diseño de interfaz</w:t>
            </w:r>
          </w:p>
        </w:tc>
      </w:tr>
    </w:tbl>
    <w:p>
      <w:pPr>
        <w:pStyle w:val="Heading1"/>
        <w:spacing w:after="110" w:before="260"/>
      </w:pPr>
      <w:r>
        <w:rPr>
          <w:b/>
          <w:bCs/>
          <w:color w:val="1F3864"/>
          <w:sz w:val="26"/>
          <w:szCs w:val="26"/>
        </w:rPr>
        <w:t xml:space="preserve">Control de cambios de este documento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2000"/>
        <w:gridCol w:w="5960"/>
      </w:tblGrid>
      <w:tr>
        <w:trPr>
          <w:tblHeader/>
        </w:trPr>
        <w:tc>
          <w:tcPr>
            <w:tcW w:type="dxa" w:w="1400"/>
            <w:shd w:fill="1F3864" w:color="auto" w:val="clear"/>
            <w:tcMar>
              <w:top w:type="dxa" w:w="60"/>
              <w:left w:type="dxa" w:w="90"/>
              <w:bottom w:type="dxa" w:w="60"/>
              <w:right w:type="dxa" w:w="90"/>
            </w:tcMar>
          </w:tcPr>
          <w:p>
            <w:pPr>
              <w:spacing w:after="0" w:line="258"/>
            </w:pPr>
            <w:r>
              <w:rPr>
                <w:b/>
                <w:bCs/>
                <w:color w:val="FFFFFF"/>
                <w:sz w:val="20"/>
                <w:szCs w:val="20"/>
              </w:rPr>
              <w:t xml:space="preserve">Versión</w:t>
            </w:r>
          </w:p>
        </w:tc>
        <w:tc>
          <w:tcPr>
            <w:tcW w:type="dxa" w:w="2000"/>
            <w:shd w:fill="1F3864" w:color="auto" w:val="clear"/>
            <w:tcMar>
              <w:top w:type="dxa" w:w="60"/>
              <w:left w:type="dxa" w:w="90"/>
              <w:bottom w:type="dxa" w:w="60"/>
              <w:right w:type="dxa" w:w="90"/>
            </w:tcMar>
          </w:tcPr>
          <w:p>
            <w:pPr>
              <w:spacing w:after="0" w:line="258"/>
            </w:pPr>
            <w:r>
              <w:rPr>
                <w:b/>
                <w:bCs/>
                <w:color w:val="FFFFFF"/>
                <w:sz w:val="20"/>
                <w:szCs w:val="20"/>
              </w:rPr>
              <w:t xml:space="preserve">Fecha</w:t>
            </w:r>
          </w:p>
        </w:tc>
        <w:tc>
          <w:tcPr>
            <w:tcW w:type="dxa" w:w="5960"/>
            <w:shd w:fill="1F3864" w:color="auto" w:val="clear"/>
            <w:tcMar>
              <w:top w:type="dxa" w:w="60"/>
              <w:left w:type="dxa" w:w="90"/>
              <w:bottom w:type="dxa" w:w="60"/>
              <w:right w:type="dxa" w:w="90"/>
            </w:tcMar>
          </w:tcPr>
          <w:p>
            <w:pPr>
              <w:spacing w:after="0" w:line="258"/>
            </w:pPr>
            <w:r>
              <w:rPr>
                <w:b/>
                <w:bCs/>
                <w:color w:val="FFFFFF"/>
                <w:sz w:val="20"/>
                <w:szCs w:val="20"/>
              </w:rPr>
              <w:t xml:space="preserve">Descripción</w:t>
            </w:r>
          </w:p>
        </w:tc>
      </w:tr>
      <w:tr>
        <w:tc>
          <w:tcPr>
            <w:tcW w:type="dxa" w:w="14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1.0</w:t>
            </w:r>
          </w:p>
        </w:tc>
        <w:tc>
          <w:tcPr>
            <w:tcW w:type="dxa" w:w="20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24-ago-2026</w:t>
            </w:r>
          </w:p>
        </w:tc>
        <w:tc>
          <w:tcPr>
            <w:tcW w:type="dxa" w:w="59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Emisión original del Acta de Constitución (aprobada 22-ago-2026).</w:t>
            </w:r>
          </w:p>
        </w:tc>
      </w:tr>
      <w:tr>
        <w:tc>
          <w:tcPr>
            <w:tcW w:type="dxa" w:w="14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1.1</w:t>
            </w:r>
          </w:p>
        </w:tc>
        <w:tc>
          <w:tcPr>
            <w:tcW w:type="dxa" w:w="20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23-sep-2026</w:t>
            </w:r>
          </w:p>
        </w:tc>
        <w:tc>
          <w:tcPr>
            <w:tcW w:type="dxa" w:w="59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SC-01 (presupuesto): se reemplaza la restricción de “solo herramientas gratuitas” por infraestructura y servicios pagos financiados por el cliente. SC-02 (frontend): tecnología de frontend cambia de Flutter a HTML5/CSS3/JavaScript; la app móvil nativa sale de alcance (se cubre con web responsiva/PWA).</w:t>
            </w:r>
          </w:p>
        </w:tc>
      </w:tr>
      <w:tr>
        <w:tc>
          <w:tcPr>
            <w:tcW w:type="dxa" w:w="14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1.2</w:t>
            </w:r>
          </w:p>
        </w:tc>
        <w:tc>
          <w:tcPr>
            <w:tcW w:type="dxa" w:w="20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09-oct-2026</w:t>
            </w:r>
          </w:p>
        </w:tc>
        <w:tc>
          <w:tcPr>
            <w:tcW w:type="dxa" w:w="59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SC-04 (decisión del cliente): Supabase pasa al plan gratuito; línea base de costo $508.795 CLP anuales (OpenFactura + certificado digital + 15% de contingencia).</w:t>
            </w:r>
          </w:p>
        </w:tc>
      </w:tr>
    </w:tbl>
    <w:p>
      <w:pPr>
        <w:pStyle w:val="Heading1"/>
        <w:spacing w:after="110" w:before="260"/>
      </w:pPr>
      <w:r>
        <w:rPr>
          <w:b/>
          <w:bCs/>
          <w:color w:val="1F3864"/>
          <w:sz w:val="26"/>
          <w:szCs w:val="26"/>
        </w:rPr>
        <w:t xml:space="preserve">Aprobaciones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960"/>
        <w:gridCol w:w="2800"/>
        <w:gridCol w:w="2600"/>
      </w:tblGrid>
      <w:tr>
        <w:trPr>
          <w:tblHeader/>
        </w:trPr>
        <w:tc>
          <w:tcPr>
            <w:tcW w:type="dxa" w:w="3960"/>
            <w:shd w:fill="1F3864" w:color="auto" w:val="clear"/>
            <w:tcMar>
              <w:top w:type="dxa" w:w="60"/>
              <w:left w:type="dxa" w:w="90"/>
              <w:bottom w:type="dxa" w:w="60"/>
              <w:right w:type="dxa" w:w="90"/>
            </w:tcMar>
          </w:tcPr>
          <w:p>
            <w:pPr>
              <w:spacing w:after="0" w:line="258"/>
            </w:pPr>
            <w:r>
              <w:rPr>
                <w:b/>
                <w:bCs/>
                <w:color w:val="FFFFFF"/>
                <w:sz w:val="20"/>
                <w:szCs w:val="20"/>
              </w:rPr>
              <w:t xml:space="preserve">Nombre / Rol</w:t>
            </w:r>
          </w:p>
        </w:tc>
        <w:tc>
          <w:tcPr>
            <w:tcW w:type="dxa" w:w="2800"/>
            <w:shd w:fill="1F3864" w:color="auto" w:val="clear"/>
            <w:tcMar>
              <w:top w:type="dxa" w:w="60"/>
              <w:left w:type="dxa" w:w="90"/>
              <w:bottom w:type="dxa" w:w="60"/>
              <w:right w:type="dxa" w:w="90"/>
            </w:tcMar>
          </w:tcPr>
          <w:p>
            <w:pPr>
              <w:spacing w:after="0" w:line="258"/>
            </w:pPr>
            <w:r>
              <w:rPr>
                <w:b/>
                <w:bCs/>
                <w:color w:val="FFFFFF"/>
                <w:sz w:val="20"/>
                <w:szCs w:val="20"/>
              </w:rPr>
              <w:t xml:space="preserve">Fecha</w:t>
            </w:r>
          </w:p>
        </w:tc>
        <w:tc>
          <w:tcPr>
            <w:tcW w:type="dxa" w:w="2600"/>
            <w:shd w:fill="1F3864" w:color="auto" w:val="clear"/>
            <w:tcMar>
              <w:top w:type="dxa" w:w="60"/>
              <w:left w:type="dxa" w:w="90"/>
              <w:bottom w:type="dxa" w:w="60"/>
              <w:right w:type="dxa" w:w="90"/>
            </w:tcMar>
          </w:tcPr>
          <w:p>
            <w:pPr>
              <w:spacing w:after="0" w:line="258"/>
            </w:pPr>
            <w:r>
              <w:rPr>
                <w:b/>
                <w:bCs/>
                <w:color w:val="FFFFFF"/>
                <w:sz w:val="20"/>
                <w:szCs w:val="20"/>
              </w:rPr>
              <w:t xml:space="preserve">Firma</w:t>
            </w:r>
          </w:p>
        </w:tc>
      </w:tr>
      <w:tr>
        <w:tc>
          <w:tcPr>
            <w:tcW w:type="dxa" w:w="39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Iván Rodríguez — Patrocinador / Dueño de Befine</w:t>
            </w:r>
          </w:p>
        </w:tc>
        <w:tc>
          <w:tcPr>
            <w:tcW w:type="dxa" w:w="28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___ / ___ / 2026</w:t>
            </w:r>
          </w:p>
        </w:tc>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________________</w:t>
            </w:r>
          </w:p>
        </w:tc>
      </w:tr>
      <w:tr>
        <w:tc>
          <w:tcPr>
            <w:tcW w:type="dxa" w:w="396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Carlos Fuentes — Equipo del proyecto</w:t>
            </w:r>
          </w:p>
        </w:tc>
        <w:tc>
          <w:tcPr>
            <w:tcW w:type="dxa" w:w="28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___ / ___ / 2026</w:t>
            </w:r>
          </w:p>
        </w:tc>
        <w:tc>
          <w:tcPr>
            <w:tcW w:type="dxa" w:w="2600"/>
            <w:shd w:fill="F2F5FB" w:color="auto" w:val="clear"/>
            <w:tcMar>
              <w:top w:type="dxa" w:w="60"/>
              <w:left w:type="dxa" w:w="90"/>
              <w:bottom w:type="dxa" w:w="60"/>
              <w:right w:type="dxa" w:w="90"/>
            </w:tcMar>
          </w:tcPr>
          <w:p>
            <w:pPr>
              <w:spacing w:after="0" w:line="258"/>
            </w:pPr>
            <w:r>
              <w:rPr>
                <w:b w:val="false"/>
                <w:bCs w:val="false"/>
                <w:color w:val="000000"/>
                <w:sz w:val="20"/>
                <w:szCs w:val="20"/>
              </w:rPr>
              <w:t xml:space="preserve">________________</w:t>
            </w:r>
          </w:p>
        </w:tc>
      </w:tr>
      <w:tr>
        <w:tc>
          <w:tcPr>
            <w:tcW w:type="dxa" w:w="396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Felipe Moraga — Equipo del proyecto</w:t>
            </w:r>
          </w:p>
        </w:tc>
        <w:tc>
          <w:tcPr>
            <w:tcW w:type="dxa" w:w="28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___ / ___ / 2026</w:t>
            </w:r>
          </w:p>
        </w:tc>
        <w:tc>
          <w:tcPr>
            <w:tcW w:type="dxa" w:w="2600"/>
            <w:shd w:fill="FFFFFF" w:color="auto" w:val="clear"/>
            <w:tcMar>
              <w:top w:type="dxa" w:w="60"/>
              <w:left w:type="dxa" w:w="90"/>
              <w:bottom w:type="dxa" w:w="60"/>
              <w:right w:type="dxa" w:w="90"/>
            </w:tcMar>
          </w:tcPr>
          <w:p>
            <w:pPr>
              <w:spacing w:after="0" w:line="258"/>
            </w:pPr>
            <w:r>
              <w:rPr>
                <w:b w:val="false"/>
                <w:bCs w:val="false"/>
                <w:color w:val="000000"/>
                <w:sz w:val="20"/>
                <w:szCs w:val="20"/>
              </w:rPr>
              <w:t xml:space="preserve">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 Befine Store (v1.1)</dc:title>
  <dc:creator>Plaxi Solutions</dc:creator>
  <cp:lastModifiedBy>Un-named</cp:lastModifiedBy>
  <cp:revision>1</cp:revision>
  <dcterms:created xsi:type="dcterms:W3CDTF">2026-09-23T01:10:20.559Z</dcterms:created>
  <dcterms:modified xsi:type="dcterms:W3CDTF">2026-09-23T01:10:20.569Z</dcterms:modified>
</cp:coreProperties>
</file>

<file path=docProps/custom.xml><?xml version="1.0" encoding="utf-8"?>
<Properties xmlns="http://schemas.openxmlformats.org/officeDocument/2006/custom-properties" xmlns:vt="http://schemas.openxmlformats.org/officeDocument/2006/docPropsVTypes"/>
</file>