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efinition-of-done-dod--befine-store"/>
    <w:p>
      <w:pPr>
        <w:pStyle w:val="Heading1"/>
      </w:pPr>
      <w:r>
        <w:t xml:space="preserve">Definition of Done (DoD) — Befine Store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1.0 ·</w:t>
      </w:r>
      <w:r>
        <w:t xml:space="preserve"> </w:t>
      </w:r>
      <w:r>
        <w:rPr>
          <w:bCs/>
          <w:b/>
        </w:rPr>
        <w:t xml:space="preserve">Vigente desde:</w:t>
      </w:r>
      <w:r>
        <w:t xml:space="preserve"> </w:t>
      </w:r>
      <w:r>
        <w:t xml:space="preserve">Sprint 2 (05-oct-2026) ·</w:t>
      </w:r>
      <w:r>
        <w:t xml:space="preserve"> </w:t>
      </w:r>
      <w:r>
        <w:rPr>
          <w:bCs/>
          <w:b/>
        </w:rPr>
        <w:t xml:space="preserve">Fuente:</w:t>
      </w:r>
      <w:r>
        <w:t xml:space="preserve"> </w:t>
      </w:r>
      <w:r>
        <w:t xml:space="preserve">Plan de Gestión de la Calidad v1.1 (KPI y aseguramiento)</w:t>
      </w:r>
    </w:p>
    <w:p>
      <w:pPr>
        <w:pStyle w:val="BodyText"/>
      </w:pPr>
      <w:r>
        <w:t xml:space="preserve">Una historia de usuario se considera</w:t>
      </w:r>
      <w:r>
        <w:t xml:space="preserve"> </w:t>
      </w:r>
      <w:r>
        <w:rPr>
          <w:bCs/>
          <w:b/>
        </w:rPr>
        <w:t xml:space="preserve">TERMINADA</w:t>
      </w:r>
      <w:r>
        <w:t xml:space="preserve"> </w:t>
      </w:r>
      <w:r>
        <w:t xml:space="preserve">solo si cumple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los puntos que le aplican. El líder de sprint vigente lo verifica antes de moverla a "Done" en el tablero.</w:t>
      </w:r>
    </w:p>
    <w:bookmarkStart w:id="20" w:name="X787a0ed2584f88e0fbe43ae4f75213f6d0981d3"/>
    <w:p>
      <w:pPr>
        <w:pStyle w:val="Heading2"/>
      </w:pPr>
      <w:r>
        <w:t xml:space="preserve">1. Nivel historia de usuario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896"/>
        <w:gridCol w:w="6009"/>
        <w:gridCol w:w="2506"/>
      </w:tblGrid>
      <w:tr>
        <w:trPr>
          <w:tblHeader w:val="true"/>
        </w:trPr>
        <w:tc>
          <w:tcPr>
            <w:tcW w:w="896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w="6009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Criterio</w:t>
            </w:r>
          </w:p>
        </w:tc>
        <w:tc>
          <w:tcPr>
            <w:tcW w:w="2506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Cómo se verifica</w:t>
            </w:r>
          </w:p>
        </w:tc>
      </w:tr>
      <w:tr>
        <w:tc>
          <w:tcPr>
            <w:tcW w:w="89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1</w:t>
            </w:r>
          </w:p>
        </w:tc>
        <w:tc>
          <w:tcPr>
            <w:tcW w:w="600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Cumple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bCs/>
                <w:rFonts w:ascii="Arial" w:hAnsi="Arial"/>
                <w:b/>
                <w:sz w:val="18"/>
              </w:rPr>
              <w:t xml:space="preserve">todos sus criterios de aceptación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(Product Backlog)</w:t>
            </w:r>
          </w:p>
        </w:tc>
        <w:tc>
          <w:tcPr>
            <w:tcW w:w="250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Checklist en la issue de GitHub</w:t>
            </w:r>
          </w:p>
        </w:tc>
      </w:tr>
      <w:tr>
        <w:tc>
          <w:tcPr>
            <w:tcW w:w="89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2</w:t>
            </w:r>
          </w:p>
        </w:tc>
        <w:tc>
          <w:tcPr>
            <w:tcW w:w="600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El código está en la rama principal mediante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bCs/>
                <w:rFonts w:ascii="Arial" w:hAnsi="Arial"/>
                <w:b/>
                <w:sz w:val="18"/>
              </w:rPr>
              <w:t xml:space="preserve">pull request revisado por otro integrante</w:t>
            </w:r>
          </w:p>
        </w:tc>
        <w:tc>
          <w:tcPr>
            <w:tcW w:w="250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PR aprobado en GitHub</w:t>
            </w:r>
          </w:p>
        </w:tc>
      </w:tr>
      <w:tr>
        <w:tc>
          <w:tcPr>
            <w:tcW w:w="89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3</w:t>
            </w:r>
          </w:p>
        </w:tc>
        <w:tc>
          <w:tcPr>
            <w:tcW w:w="6009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Sin errores en la consola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del navegador en el flujo de la historia</w:t>
            </w:r>
          </w:p>
        </w:tc>
        <w:tc>
          <w:tcPr>
            <w:tcW w:w="250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DevTools en Chrome y Firefox</w:t>
            </w:r>
          </w:p>
        </w:tc>
      </w:tr>
      <w:tr>
        <w:tc>
          <w:tcPr>
            <w:tcW w:w="89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4</w:t>
            </w:r>
          </w:p>
        </w:tc>
        <w:tc>
          <w:tcPr>
            <w:tcW w:w="600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Funciona en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bCs/>
                <w:rFonts w:ascii="Arial" w:hAnsi="Arial"/>
                <w:b/>
                <w:sz w:val="18"/>
              </w:rPr>
              <w:t xml:space="preserve">celular y computador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(360 px, 768 px y 1280 px) y en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bCs/>
                <w:rFonts w:ascii="Arial" w:hAnsi="Arial"/>
                <w:b/>
                <w:sz w:val="18"/>
              </w:rPr>
              <w:t xml:space="preserve">tema claro y oscuro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— RNF-01</w:t>
            </w:r>
          </w:p>
        </w:tc>
        <w:tc>
          <w:tcPr>
            <w:tcW w:w="250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Revisión visual</w:t>
            </w:r>
          </w:p>
        </w:tc>
      </w:tr>
      <w:tr>
        <w:tc>
          <w:tcPr>
            <w:tcW w:w="89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5</w:t>
            </w:r>
          </w:p>
        </w:tc>
        <w:tc>
          <w:tcPr>
            <w:tcW w:w="600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Accesibilidad básica: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alt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en imágenes, foco visible, campos con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label</w:t>
            </w:r>
            <w:r>
              <w:rPr>
                <w:rFonts w:ascii="Arial" w:hAnsi="Arial"/>
                <w:sz w:val="18"/>
              </w:rPr>
              <w:t xml:space="preserve">, contraste AA — RNF-12</w:t>
            </w:r>
          </w:p>
        </w:tc>
        <w:tc>
          <w:tcPr>
            <w:tcW w:w="250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Revisión manual + Lighthouse Accessibility ≥ 90</w:t>
            </w:r>
          </w:p>
        </w:tc>
      </w:tr>
      <w:tr>
        <w:tc>
          <w:tcPr>
            <w:tcW w:w="89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6</w:t>
            </w:r>
          </w:p>
        </w:tc>
        <w:tc>
          <w:tcPr>
            <w:tcW w:w="600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Si toca datos: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bCs/>
                <w:rFonts w:ascii="Arial" w:hAnsi="Arial"/>
                <w:b/>
                <w:sz w:val="18"/>
              </w:rPr>
              <w:t xml:space="preserve">políticas RLS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creadas o revisadas, sin permisos de escritura para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anon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— RNF-04</w:t>
            </w:r>
          </w:p>
        </w:tc>
        <w:tc>
          <w:tcPr>
            <w:tcW w:w="250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Revisión de la migración SQL</w:t>
            </w:r>
          </w:p>
        </w:tc>
      </w:tr>
      <w:tr>
        <w:tc>
          <w:tcPr>
            <w:tcW w:w="89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7</w:t>
            </w:r>
          </w:p>
        </w:tc>
        <w:tc>
          <w:tcPr>
            <w:tcW w:w="600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Si cambia la base de datos: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bCs/>
                <w:rFonts w:ascii="Arial" w:hAnsi="Arial"/>
                <w:b/>
                <w:sz w:val="18"/>
              </w:rPr>
              <w:t xml:space="preserve">migración versionada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con su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bCs/>
                <w:rFonts w:ascii="Arial" w:hAnsi="Arial"/>
                <w:b/>
                <w:sz w:val="18"/>
              </w:rPr>
              <w:t xml:space="preserve">script de reversa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en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supabase/migrations/</w:t>
            </w:r>
          </w:p>
        </w:tc>
        <w:tc>
          <w:tcPr>
            <w:tcW w:w="250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Archivos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*_reversa.sql</w:t>
            </w:r>
          </w:p>
        </w:tc>
      </w:tr>
      <w:tr>
        <w:tc>
          <w:tcPr>
            <w:tcW w:w="89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8</w:t>
            </w:r>
          </w:p>
        </w:tc>
        <w:tc>
          <w:tcPr>
            <w:tcW w:w="600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Lógica de negocio (precios, despacho, puntos, validaciones)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bCs/>
                <w:rFonts w:ascii="Arial" w:hAnsi="Arial"/>
                <w:b/>
                <w:sz w:val="18"/>
              </w:rPr>
              <w:t xml:space="preserve">con prueba unitaria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que pasa</w:t>
            </w:r>
          </w:p>
        </w:tc>
        <w:tc>
          <w:tcPr>
            <w:tcW w:w="250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npm test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en verde</w:t>
            </w:r>
          </w:p>
        </w:tc>
      </w:tr>
      <w:tr>
        <w:tc>
          <w:tcPr>
            <w:tcW w:w="89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9</w:t>
            </w:r>
          </w:p>
        </w:tc>
        <w:tc>
          <w:tcPr>
            <w:tcW w:w="6009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Ninguna clave secreta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en el código (solo la clave pública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iCs/>
                <w:rFonts w:ascii="Arial" w:hAnsi="Arial"/>
                <w:i/>
                <w:sz w:val="18"/>
              </w:rPr>
              <w:t xml:space="preserve">anon</w:t>
            </w:r>
            <w:r>
              <w:rPr>
                <w:rFonts w:ascii="Arial" w:hAnsi="Arial"/>
                <w:sz w:val="18"/>
              </w:rPr>
              <w:t xml:space="preserve">;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service_role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y tokens en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iCs/>
                <w:rFonts w:ascii="Arial" w:hAnsi="Arial"/>
                <w:i/>
                <w:sz w:val="18"/>
              </w:rPr>
              <w:t xml:space="preserve">secrets</w:t>
            </w:r>
            <w:r>
              <w:rPr>
                <w:rFonts w:ascii="Arial" w:hAnsi="Arial"/>
                <w:sz w:val="18"/>
              </w:rPr>
              <w:t xml:space="preserve">)</w:t>
            </w:r>
          </w:p>
        </w:tc>
        <w:tc>
          <w:tcPr>
            <w:tcW w:w="250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Revisión del PR</w:t>
            </w:r>
          </w:p>
        </w:tc>
      </w:tr>
      <w:tr>
        <w:tc>
          <w:tcPr>
            <w:tcW w:w="89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10</w:t>
            </w:r>
          </w:p>
        </w:tc>
        <w:tc>
          <w:tcPr>
            <w:tcW w:w="600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Textos en español de Chile y montos en CLP sin decimales — RNF-14</w:t>
            </w:r>
          </w:p>
        </w:tc>
        <w:tc>
          <w:tcPr>
            <w:tcW w:w="2506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Revisión visual</w:t>
            </w:r>
          </w:p>
        </w:tc>
      </w:tr>
      <w:tr>
        <w:tc>
          <w:tcPr>
            <w:tcW w:w="89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11</w:t>
            </w:r>
          </w:p>
        </w:tc>
        <w:tc>
          <w:tcPr>
            <w:tcW w:w="600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Documentación actualizada si cambió algo visible (README, manual técnico o modelo de datos)</w:t>
            </w:r>
          </w:p>
        </w:tc>
        <w:tc>
          <w:tcPr>
            <w:tcW w:w="2506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Revisión del PR</w:t>
            </w:r>
          </w:p>
        </w:tc>
      </w:tr>
    </w:tbl>
    <w:bookmarkEnd w:id="20"/>
    <w:bookmarkStart w:id="21" w:name="Xfba519a1b9f533130adb2e401317e36b9cc503e"/>
    <w:p>
      <w:pPr>
        <w:pStyle w:val="Heading2"/>
      </w:pPr>
      <w:r>
        <w:t xml:space="preserve">2. Nivel sprint (incremento)</w:t>
      </w:r>
    </w:p>
    <w:p>
      <w:pPr>
        <w:pStyle w:val="Compact"/>
        <w:numPr>
          <w:ilvl w:val="0"/>
          <w:numId w:val="1001"/>
        </w:numPr>
      </w:pPr>
      <w:r>
        <w:t xml:space="preserve">Todas las historias comprometidas cumplen la DoD; las que no la cumplen</w:t>
      </w:r>
      <w:r>
        <w:t xml:space="preserve"> </w:t>
      </w:r>
      <w:r>
        <w:rPr>
          <w:bCs/>
          <w:b/>
        </w:rPr>
        <w:t xml:space="preserve">vuelven al Product Backlog</w:t>
      </w:r>
      <w:r>
        <w:t xml:space="preserve"> </w:t>
      </w:r>
      <w:r>
        <w:t xml:space="preserve">(no se dan por "casi listas").</w:t>
      </w:r>
    </w:p>
    <w:p>
      <w:pPr>
        <w:pStyle w:val="Compact"/>
        <w:numPr>
          <w:ilvl w:val="0"/>
          <w:numId w:val="1001"/>
        </w:numPr>
      </w:pPr>
      <w:r>
        <w:t xml:space="preserve">El incremento se</w:t>
      </w:r>
      <w:r>
        <w:t xml:space="preserve"> </w:t>
      </w:r>
      <w:r>
        <w:rPr>
          <w:bCs/>
          <w:b/>
        </w:rPr>
        <w:t xml:space="preserve">demuestra al Product Owner</w:t>
      </w:r>
      <w:r>
        <w:t xml:space="preserve"> </w:t>
      </w:r>
      <w:r>
        <w:t xml:space="preserve">(Iván Rodríguez) en la Sprint Review y él lo acepta o rechaza.</w:t>
      </w:r>
    </w:p>
    <w:p>
      <w:pPr>
        <w:pStyle w:val="Compact"/>
        <w:numPr>
          <w:ilvl w:val="0"/>
          <w:numId w:val="1001"/>
        </w:numPr>
      </w:pPr>
      <w:r>
        <w:t xml:space="preserve">Se registra la</w:t>
      </w:r>
      <w:r>
        <w:t xml:space="preserve"> </w:t>
      </w:r>
      <w:r>
        <w:rPr>
          <w:bCs/>
          <w:b/>
        </w:rPr>
        <w:t xml:space="preserve">retrospectiva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Retrospectivas/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 etiqueta la versión en Git (</w:t>
      </w:r>
      <w:r>
        <w:rPr>
          <w:rStyle w:val="VerbatimChar"/>
        </w:rPr>
        <w:t xml:space="preserve">v0.S.0</w:t>
      </w:r>
      <w:r>
        <w:t xml:space="preserve">, por ejemplo</w:t>
      </w:r>
      <w:r>
        <w:t xml:space="preserve"> </w:t>
      </w:r>
      <w:r>
        <w:rPr>
          <w:rStyle w:val="VerbatimChar"/>
        </w:rPr>
        <w:t xml:space="preserve">v0.2.0</w:t>
      </w:r>
      <w:r>
        <w:t xml:space="preserve"> </w:t>
      </w:r>
      <w:r>
        <w:t xml:space="preserve">al cierre del Sprint 2) — Plan de Gestión de la Configuración.</w:t>
      </w:r>
    </w:p>
    <w:bookmarkEnd w:id="21"/>
    <w:bookmarkStart w:id="22" w:name="X48a55ae2956940c61c47802d2d36dff13f932e7"/>
    <w:p>
      <w:pPr>
        <w:pStyle w:val="Heading2"/>
      </w:pPr>
      <w:r>
        <w:t xml:space="preserve">3. Nivel release (Go-Live, 21-nov-2026)</w:t>
      </w:r>
    </w:p>
    <w:p>
      <w:pPr>
        <w:pStyle w:val="Compact"/>
        <w:numPr>
          <w:ilvl w:val="0"/>
          <w:numId w:val="1002"/>
        </w:numPr>
      </w:pPr>
      <w:r>
        <w:t xml:space="preserve">100 % de los casos de prueba críticos (pago, facturación y pedidos) ejecutados y aprobados.</w:t>
      </w:r>
    </w:p>
    <w:p>
      <w:pPr>
        <w:pStyle w:val="Compact"/>
        <w:numPr>
          <w:ilvl w:val="0"/>
          <w:numId w:val="1002"/>
        </w:numPr>
      </w:pPr>
      <w:r>
        <w:t xml:space="preserve">0 errores críticos abiertos.</w:t>
      </w:r>
    </w:p>
    <w:p>
      <w:pPr>
        <w:pStyle w:val="Compact"/>
        <w:numPr>
          <w:ilvl w:val="0"/>
          <w:numId w:val="1002"/>
        </w:numPr>
      </w:pPr>
      <w:r>
        <w:t xml:space="preserve">Transacciones de prueba exitosas en el</w:t>
      </w:r>
      <w:r>
        <w:t xml:space="preserve"> </w:t>
      </w:r>
      <w:r>
        <w:rPr>
          <w:iCs/>
          <w:i/>
        </w:rPr>
        <w:t xml:space="preserve">sandbox</w:t>
      </w:r>
      <w:r>
        <w:t xml:space="preserve"> </w:t>
      </w:r>
      <w:r>
        <w:t xml:space="preserve">de Mercado Pago y en la certificación de OpenFactura.</w:t>
      </w:r>
    </w:p>
    <w:p>
      <w:pPr>
        <w:pStyle w:val="Compact"/>
        <w:numPr>
          <w:ilvl w:val="0"/>
          <w:numId w:val="1002"/>
        </w:numPr>
      </w:pPr>
      <w:r>
        <w:t xml:space="preserve">Lighthouse Performance ≥ 90 y LCP ≤ 2,5 s en móvil.</w:t>
      </w:r>
    </w:p>
    <w:p>
      <w:pPr>
        <w:pStyle w:val="Compact"/>
        <w:numPr>
          <w:ilvl w:val="0"/>
          <w:numId w:val="1002"/>
        </w:numPr>
      </w:pPr>
      <w:r>
        <w:t xml:space="preserve">Pruebas de aceptación de usuario (UAT) firmadas por el Product Owner.</w:t>
      </w:r>
    </w:p>
    <w:p>
      <w:pPr>
        <w:pStyle w:val="Compact"/>
        <w:numPr>
          <w:ilvl w:val="0"/>
          <w:numId w:val="1002"/>
        </w:numPr>
      </w:pPr>
      <w:r>
        <w:t xml:space="preserve">Manual técnico y manual de usuario entregados.</w:t>
      </w:r>
    </w:p>
    <w:bookmarkEnd w:id="22"/>
    <w:bookmarkEnd w:id="23"/>
    <w:sectPr>
      <w:footerReference w:type="default" r:id="rId9"/>
      <w:headerReference w:type="default" r:id="rId10"/>
      <w:pgSz w:h="16838" w:w="11906"/>
      <w:pgMar w:bottom="1247" w:left="1247" w:right="1247" w:top="124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F7F7F"/>
        <w:sz w:val="16"/>
      </w:rPr>
      <w:t>Befine Store · Grupo N3 · Plaxi Solutions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Theme="majorEastAsia" w:hAnsi="Arial" w:hAnsiTheme="majorHAns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val="1F3864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val="1F3864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Theme="majorEastAsia" w:hAnsi="Arial" w:hAnsiTheme="majorHAnsi"/>
      <w:i/>
      <w:b/>
      <w:bCs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2026-10-09T14:09:02Z</dcterms:created>
  <dcterms:modified xsi:type="dcterms:W3CDTF">2026-10-09T14:09:02Z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