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trospectiva--sprint-1"/>
    <w:p>
      <w:pPr>
        <w:pStyle w:val="Heading1"/>
      </w:pPr>
      <w:r>
        <w:t xml:space="preserve">Retrospectiva — Sprint 1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3210"/>
        <w:gridCol w:w="6201"/>
      </w:tblGrid>
      <w:tr>
        <w:trPr>
          <w:tblHeader w:val="true"/>
        </w:trPr>
        <w:tc>
          <w:tcPr>
            <w:tcW w:w="3210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Campo</w:t>
            </w:r>
          </w:p>
        </w:tc>
        <w:tc>
          <w:tcPr>
            <w:tcW w:w="6201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Valor</w:t>
            </w:r>
          </w:p>
        </w:tc>
      </w:tr>
      <w:tr>
        <w:tc>
          <w:tcPr>
            <w:tcW w:w="321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Sprint</w:t>
            </w:r>
          </w:p>
        </w:tc>
        <w:tc>
          <w:tcPr>
            <w:tcW w:w="62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1 (21-sep → 04-oct-2026)</w:t>
            </w:r>
          </w:p>
        </w:tc>
      </w:tr>
      <w:tr>
        <w:tc>
          <w:tcPr>
            <w:tcW w:w="321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Fecha</w:t>
            </w:r>
          </w:p>
        </w:tc>
        <w:tc>
          <w:tcPr>
            <w:tcW w:w="62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04-oct-2026</w:t>
            </w:r>
          </w:p>
        </w:tc>
      </w:tr>
      <w:tr>
        <w:tc>
          <w:tcPr>
            <w:tcW w:w="321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Facilitador (Scrum Master)</w:t>
            </w:r>
          </w:p>
        </w:tc>
        <w:tc>
          <w:tcPr>
            <w:tcW w:w="62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</w:tr>
      <w:tr>
        <w:tc>
          <w:tcPr>
            <w:tcW w:w="3210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Participantes</w:t>
            </w:r>
          </w:p>
        </w:tc>
        <w:tc>
          <w:tcPr>
            <w:tcW w:w="6201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· Carlos Fuentes · Felipe Moraga</w:t>
            </w:r>
          </w:p>
        </w:tc>
      </w:tr>
      <w:tr>
        <w:tc>
          <w:tcPr>
            <w:tcW w:w="3210" w:type="dxa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rFonts w:ascii="Arial" w:hAnsi="Arial"/>
                <w:b/>
                <w:sz w:val="18"/>
              </w:rPr>
              <w:t xml:space="preserve">Formato</w:t>
            </w:r>
          </w:p>
        </w:tc>
        <w:tc>
          <w:tcPr>
            <w:tcW w:w="6201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Qué funcionó / Qué no funcionó / Qué cambiamos</w:t>
            </w:r>
          </w:p>
        </w:tc>
      </w:tr>
    </w:tbl>
    <w:bookmarkStart w:id="20" w:name="X7c29df3a712725fa0f683284ee8f25498ca0d6b"/>
    <w:p>
      <w:pPr>
        <w:pStyle w:val="Heading2"/>
      </w:pPr>
      <w:r>
        <w:t xml:space="preserve">✅ Qué funcionó (mantener)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Un solo puente de datos (</w:t>
      </w:r>
      <w:r>
        <w:rPr>
          <w:rStyle w:val="VerbatimChar"/>
          <w:bCs/>
          <w:b/>
        </w:rPr>
        <w:t xml:space="preserve">data.js</w:t>
      </w:r>
      <w:r>
        <w:rPr>
          <w:bCs/>
          <w:b/>
        </w:rPr>
        <w:t xml:space="preserve">).</w:t>
      </w:r>
      <w:r>
        <w:t xml:space="preserve"> </w:t>
      </w:r>
      <w:r>
        <w:t xml:space="preserve">Las pantallas solo hablan con</w:t>
      </w:r>
      <w:r>
        <w:t xml:space="preserve"> </w:t>
      </w:r>
      <w:r>
        <w:rPr>
          <w:rStyle w:val="VerbatimChar"/>
        </w:rPr>
        <w:t xml:space="preserve">window.Befine</w:t>
      </w:r>
      <w:r>
        <w:t xml:space="preserve">; por eso pasar de datos de prueba a Supabase no obligó a tocar ninguna pantalla. Se mantiene este patrón para pedidos, pagos y el panel de administración.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Decidir la tecnología antes de construir.</w:t>
      </w:r>
      <w:r>
        <w:t xml:space="preserve"> </w:t>
      </w:r>
      <w:r>
        <w:t xml:space="preserve">La SC-02 se aprobó el segundo día hábil del sprint; el esqueleto en Flutter se descartó a los pocos días y el retrabajo fue mínimo.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Base de datos lista desde la Planificación (CFG-03).</w:t>
      </w:r>
      <w:r>
        <w:t xml:space="preserve"> </w:t>
      </w:r>
      <w:r>
        <w:t xml:space="preserve">El frontend trabajó con el catálogo real desde el primer día.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Rendimiento cuidado desde el inicio:</w:t>
      </w:r>
      <w:r>
        <w:t xml:space="preserve"> </w:t>
      </w:r>
      <w:r>
        <w:t xml:space="preserve">imágenes en WebP, logo reducido de 652 KB a 85 KB y modo ligero automático en celulares básicos.</w:t>
      </w:r>
    </w:p>
    <w:bookmarkEnd w:id="20"/>
    <w:bookmarkStart w:id="21" w:name="X4e2cf8d63ea8b10c93052d38d94d98400056057"/>
    <w:p>
      <w:pPr>
        <w:pStyle w:val="Heading2"/>
      </w:pPr>
      <w:r>
        <w:t xml:space="preserve">⚠️ Qué no funcionó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832"/>
        <w:gridCol w:w="4579"/>
      </w:tblGrid>
      <w:tr>
        <w:trPr>
          <w:tblHeader w:val="true"/>
        </w:trPr>
        <w:tc>
          <w:tcPr>
            <w:tcW w:w="483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Situación</w:t>
            </w:r>
          </w:p>
        </w:tc>
        <w:tc>
          <w:tcPr>
            <w:tcW w:w="457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Efecto</w:t>
            </w:r>
          </w:p>
        </w:tc>
      </w:tr>
      <w:tr>
        <w:tc>
          <w:tcPr>
            <w:tcW w:w="483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 rama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siguió con el proyecto Flutter durante todo el sprint; el código nuevo vive en la rama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ivan</w:t>
            </w:r>
          </w:p>
        </w:tc>
        <w:tc>
          <w:tcPr>
            <w:tcW w:w="4579" w:type="dxa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no refleja el producto real y las ramas personales se desfasan</w:t>
            </w:r>
          </w:p>
        </w:tc>
      </w:tr>
      <w:tr>
        <w:tc>
          <w:tcPr>
            <w:tcW w:w="483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esqueleto en Flutter del PR #18 quedó obsoleto con la SC-02</w:t>
            </w:r>
          </w:p>
        </w:tc>
        <w:tc>
          <w:tcPr>
            <w:tcW w:w="45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Trabajo descartado (la conexión a Supabase se rehízo en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data.js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483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pedido y el pago quedaron en modo demostración</w:t>
            </w:r>
          </w:p>
        </w:tc>
        <w:tc>
          <w:tcPr>
            <w:tcW w:w="45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El checkout no crea pedidos reales; HU-05 y HU-06 siguen parciales</w:t>
            </w:r>
          </w:p>
        </w:tc>
      </w:tr>
      <w:tr>
        <w:tc>
          <w:tcPr>
            <w:tcW w:w="483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HU-03 (CRUD de productos) no se alcanzó</w:t>
            </w:r>
          </w:p>
        </w:tc>
        <w:tc>
          <w:tcPr>
            <w:tcW w:w="45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replanifica al Sprint 4 junto al resto del panel</w:t>
            </w:r>
          </w:p>
        </w:tc>
      </w:tr>
      <w:tr>
        <w:tc>
          <w:tcPr>
            <w:tcW w:w="483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 creación del pedido desde el navegador no era segura (montos decididos por el cliente)</w:t>
            </w:r>
          </w:p>
        </w:tc>
        <w:tc>
          <w:tcPr>
            <w:tcW w:w="457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Se detectó al revisar la base; requiere corrección antes de conectar Mercado Pago</w:t>
            </w:r>
          </w:p>
        </w:tc>
      </w:tr>
      <w:tr>
        <w:tc>
          <w:tcPr>
            <w:tcW w:w="483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Los commits del sprint quedaron concentrados en una sola cuenta</w:t>
            </w:r>
          </w:p>
        </w:tc>
        <w:tc>
          <w:tcPr>
            <w:tcW w:w="457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La evidencia de aporte individual en Git es desigual</w:t>
            </w:r>
          </w:p>
        </w:tc>
      </w:tr>
    </w:tbl>
    <w:bookmarkEnd w:id="21"/>
    <w:bookmarkStart w:id="22" w:name="X51380043d5dd57c7c3922bfebbac5d6621e7bf2"/>
    <w:p>
      <w:pPr>
        <w:pStyle w:val="Heading2"/>
      </w:pPr>
      <w:r>
        <w:t xml:space="preserve">🚀 Qué cambiamos (acciones de mejora)</w:t>
      </w:r>
    </w:p>
    <w:tbl>
      <w:tblPr>
        <w:tblStyle w:val="Table"/>
        <w:tblW w:w="5000" w:type="pct"/>
        <w:jc w:val="start"/>
        <w:tblBorders>
          <w:top w:val="single" w:sz="4" w:color="8EA9C8"/>
          <w:left w:val="single" w:sz="4" w:color="8EA9C8"/>
          <w:bottom w:val="single" w:sz="4" w:color="8EA9C8"/>
          <w:right w:val="single" w:sz="4" w:color="8EA9C8"/>
          <w:insideH w:val="single" w:sz="4" w:color="8EA9C8"/>
          <w:insideV w:val="single" w:sz="4" w:color="8EA9C8"/>
        </w:tblBorders>
        <w:tblLayout w:type="fixed"/>
        <w:tblLook w:firstRow="1" w:lastRow="0" w:firstColumn="0" w:lastColumn="0" w:noHBand="0" w:noVBand="0" w:val="0020"/>
      </w:tblPr>
      <w:tblGrid>
        <w:gridCol w:w="4972"/>
        <w:gridCol w:w="2239"/>
        <w:gridCol w:w="927"/>
        <w:gridCol w:w="1272"/>
      </w:tblGrid>
      <w:tr>
        <w:trPr>
          <w:tblHeader w:val="true"/>
        </w:trPr>
        <w:tc>
          <w:tcPr>
            <w:tcW w:w="497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Acción</w:t>
            </w:r>
          </w:p>
        </w:tc>
        <w:tc>
          <w:tcPr>
            <w:tcW w:w="2239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Responsable</w:t>
            </w:r>
          </w:p>
        </w:tc>
        <w:tc>
          <w:tcPr>
            <w:tcW w:w="927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Plazo</w:t>
            </w:r>
          </w:p>
        </w:tc>
        <w:tc>
          <w:tcPr>
            <w:tcW w:w="1272" w:type="dxa"/>
            <w:shd w:val="clear" w:color="auto" w:fill="1F3864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Estado en Sprint 2</w:t>
            </w:r>
          </w:p>
        </w:tc>
      </w:tr>
      <w:tr>
        <w:tc>
          <w:tcPr>
            <w:tcW w:w="49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Integrar el PR #19 a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al inicio del sprint y actualizar las ramas personales desde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main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antes de seguir</w:t>
            </w:r>
          </w:p>
        </w:tc>
        <w:tc>
          <w:tcPr>
            <w:tcW w:w="223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Iván Rodríguez / Felipe Moraga (revisión)</w:t>
            </w:r>
          </w:p>
        </w:tc>
        <w:tc>
          <w:tcPr>
            <w:tcW w:w="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Inicio del S2</w:t>
            </w:r>
          </w:p>
        </w:tc>
        <w:tc>
          <w:tcPr>
            <w:tcW w:w="12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49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Crear el pedido solo en el servidor antes de conectar Mercado Pago</w:t>
            </w:r>
          </w:p>
        </w:tc>
        <w:tc>
          <w:tcPr>
            <w:tcW w:w="223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S2</w:t>
            </w:r>
          </w:p>
        </w:tc>
        <w:tc>
          <w:tcPr>
            <w:tcW w:w="12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(SC-03,</w:t>
            </w:r>
            <w:r>
              <w:rPr>
                <w:rFonts w:ascii="Arial" w:hAnsi="Arial"/>
                <w:sz w:val="18"/>
              </w:rPr>
              <w:t xml:space="preserve"> </w:t>
            </w:r>
            <w:r>
              <w:rPr>
                <w:rStyle w:val="VerbatimChar"/>
                <w:rFonts w:ascii="Arial" w:hAnsi="Arial"/>
                <w:sz w:val="18"/>
              </w:rPr>
              <w:t xml:space="preserve">crear_pedido()</w:t>
            </w:r>
            <w:r>
              <w:rPr>
                <w:rFonts w:ascii="Arial" w:hAnsi="Arial"/>
                <w:sz w:val="18"/>
              </w:rPr>
              <w:t xml:space="preserve">)</w:t>
            </w:r>
          </w:p>
        </w:tc>
      </w:tr>
      <w:tr>
        <w:tc>
          <w:tcPr>
            <w:tcW w:w="49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Definir roles admin y chofer en la base</w:t>
            </w:r>
          </w:p>
        </w:tc>
        <w:tc>
          <w:tcPr>
            <w:tcW w:w="223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Carlos Fuentes</w:t>
            </w:r>
          </w:p>
        </w:tc>
        <w:tc>
          <w:tcPr>
            <w:tcW w:w="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✅ (SC-03)</w:t>
            </w:r>
          </w:p>
        </w:tc>
      </w:tr>
      <w:tr>
        <w:tc>
          <w:tcPr>
            <w:tcW w:w="49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Cada integrante sube su trabajo con su propia cuenta y revisa los PR de otro</w:t>
            </w:r>
          </w:p>
        </w:tc>
        <w:tc>
          <w:tcPr>
            <w:tcW w:w="2239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Todo el equipo</w:t>
            </w:r>
          </w:p>
        </w:tc>
        <w:tc>
          <w:tcPr>
            <w:tcW w:w="927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Continuo</w:t>
            </w:r>
          </w:p>
        </w:tc>
        <w:tc>
          <w:tcPr>
            <w:tcW w:w="1272" w:type="dxa"/>
            <w:shd w:val="clear" w:color="auto" w:fill="F2F5F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  <w:tr>
        <w:tc>
          <w:tcPr>
            <w:tcW w:w="49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Una issue por historia en GitHub Projects, actualizada en cada avance</w:t>
            </w:r>
          </w:p>
        </w:tc>
        <w:tc>
          <w:tcPr>
            <w:tcW w:w="2239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Felipe Moraga</w:t>
            </w:r>
          </w:p>
        </w:tc>
        <w:tc>
          <w:tcPr>
            <w:tcW w:w="927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S2</w:t>
            </w:r>
          </w:p>
        </w:tc>
        <w:tc>
          <w:tcPr>
            <w:tcW w:w="1272" w:type="dxa"/>
          </w:tcPr>
          <w:p>
            <w:pPr>
              <w:pStyle w:val="Compact"/>
              <w:spacing w:after="40"/>
              <w:jc w:val="left"/>
            </w:pPr>
            <w:r>
              <w:rPr>
                <w:rFonts w:ascii="Arial" w:hAnsi="Arial"/>
                <w:sz w:val="18"/>
              </w:rPr>
              <w:t xml:space="preserve">🟨</w:t>
            </w:r>
          </w:p>
        </w:tc>
      </w:tr>
    </w:tbl>
    <w:bookmarkEnd w:id="22"/>
    <w:bookmarkStart w:id="23" w:name="lecciones-aprendidas-registro-pmbok"/>
    <w:p>
      <w:pPr>
        <w:pStyle w:val="Heading2"/>
      </w:pPr>
      <w:r>
        <w:t xml:space="preserve">Lecciones aprendidas (registro PMBOK)</w:t>
      </w:r>
    </w:p>
    <w:p>
      <w:pPr>
        <w:pStyle w:val="Compact"/>
        <w:numPr>
          <w:ilvl w:val="0"/>
          <w:numId w:val="1002"/>
        </w:numPr>
      </w:pPr>
      <w:r>
        <w:t xml:space="preserve">Separar el acceso a datos en un único archivo permite cambiar el origen de los datos sin tocar la interfaz.</w:t>
      </w:r>
    </w:p>
    <w:p>
      <w:pPr>
        <w:pStyle w:val="Compact"/>
        <w:numPr>
          <w:ilvl w:val="0"/>
          <w:numId w:val="1002"/>
        </w:numPr>
      </w:pPr>
      <w:r>
        <w:t xml:space="preserve">Decidir la tecnología del frontend antes de construir evita retrabajo.</w:t>
      </w:r>
    </w:p>
    <w:p>
      <w:pPr>
        <w:pStyle w:val="Compact"/>
        <w:numPr>
          <w:ilvl w:val="0"/>
          <w:numId w:val="1002"/>
        </w:numPr>
      </w:pPr>
      <w:r>
        <w:t xml:space="preserve">Integrar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frecuencia reduce el riesgo de ramas desfasadas.</w:t>
      </w:r>
    </w:p>
    <w:p>
      <w:pPr>
        <w:pStyle w:val="Compact"/>
        <w:numPr>
          <w:ilvl w:val="0"/>
          <w:numId w:val="1002"/>
        </w:numPr>
      </w:pPr>
      <w:r>
        <w:t xml:space="preserve">Revisar la seguridad de la base antes de conectar pagos evita exponer los ingresos del negocio.</w:t>
      </w:r>
    </w:p>
    <w:bookmarkEnd w:id="23"/>
    <w:bookmarkEnd w:id="24"/>
    <w:sectPr>
      <w:footerReference w:type="default" r:id="rId9"/>
      <w:headerReference w:type="default" r:id="rId10"/>
      <w:pgSz w:h="16838" w:w="11906"/>
      <w:pgMar w:bottom="1247" w:left="1247" w:right="1247" w:top="124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Befine Store · Grupo N3 · Plaxi Solutions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val="1F3864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Theme="majorEastAsia" w:hAnsi="Arial" w:hAnsiTheme="majorHAns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2026-10-09T14:09:03Z</dcterms:created>
  <dcterms:modified xsi:type="dcterms:W3CDTF">2026-10-09T14:09:03Z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