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1b9ba456e3899f34107800fd0704b893433a55"/>
    <w:p>
      <w:pPr>
        <w:pStyle w:val="Heading1"/>
      </w:pPr>
      <w:r>
        <w:t xml:space="preserve">Requisitos No Funcionales (RNF) — Befine Store</w:t>
      </w:r>
    </w:p>
    <w:p>
      <w:pPr>
        <w:pStyle w:val="FirstParagraph"/>
      </w:pPr>
      <w:r>
        <w:rPr>
          <w:bCs/>
          <w:b/>
        </w:rPr>
        <w:t xml:space="preserve">Fuente:</w:t>
      </w:r>
      <w:r>
        <w:t xml:space="preserve"> </w:t>
      </w:r>
      <w:r>
        <w:t xml:space="preserve">Planilla y Especificación de Requerimientos (Grupo N3), actualizadas por la SC-02 y la SC-04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1.2 (09-oct-2026)</w:t>
      </w:r>
    </w:p>
    <w:p>
      <w:pPr>
        <w:pStyle w:val="BodyText"/>
      </w:pPr>
      <w:r>
        <w:t xml:space="preserve">Los RNF son</w:t>
      </w:r>
      <w:r>
        <w:t xml:space="preserve"> </w:t>
      </w:r>
      <w:r>
        <w:rPr>
          <w:bCs/>
          <w:b/>
        </w:rPr>
        <w:t xml:space="preserve">transversales</w:t>
      </w:r>
      <w:r>
        <w:t xml:space="preserve">: se verifican en todos los sprints mediante la Definition of Done y el Plan de Pruebas. Cada uno tiene una</w:t>
      </w:r>
      <w:r>
        <w:t xml:space="preserve"> </w:t>
      </w:r>
      <w:r>
        <w:rPr>
          <w:bCs/>
          <w:b/>
        </w:rPr>
        <w:t xml:space="preserve">métrica verificable</w:t>
      </w:r>
      <w:r>
        <w:t xml:space="preserve"> </w:t>
      </w:r>
      <w:r>
        <w:t xml:space="preserve">y una</w:t>
      </w:r>
      <w:r>
        <w:t xml:space="preserve"> </w:t>
      </w:r>
      <w:r>
        <w:rPr>
          <w:bCs/>
          <w:b/>
        </w:rPr>
        <w:t xml:space="preserve">forma de prueba</w:t>
      </w:r>
      <w:r>
        <w:t xml:space="preserve">.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18"/>
        <w:gridCol w:w="983"/>
        <w:gridCol w:w="3227"/>
        <w:gridCol w:w="4927"/>
        <w:gridCol w:w="2583"/>
        <w:gridCol w:w="2157"/>
      </w:tblGrid>
      <w:tr>
        <w:trPr>
          <w:tblHeader w:val="true"/>
        </w:trPr>
        <w:tc>
          <w:tcPr>
            <w:tcW w:w="9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98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Categoría</w:t>
            </w:r>
          </w:p>
        </w:tc>
        <w:tc>
          <w:tcPr>
            <w:tcW w:w="322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tcW w:w="492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Métrica / criterio de aceptación</w:t>
            </w:r>
          </w:p>
        </w:tc>
        <w:tc>
          <w:tcPr>
            <w:tcW w:w="258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Cómo se verifica</w:t>
            </w:r>
          </w:p>
        </w:tc>
        <w:tc>
          <w:tcPr>
            <w:tcW w:w="215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RNF-01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Usabilidad (diseño)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Mobile-first y responsive en la tienda y en el panel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Sin scroll horizontal a 360 px; layout correcto a 360 / 768 / 1280 px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en DevTools (DoD #4)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Aplicado en las pantallas construidas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RNF-02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Usabilidad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Flujo de compra simple y rápido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Compra completa en ≤ 1 minuto y ≤ 3 secciones en el checkout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 de usuario cronometrada (UAT)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Checkout en una sola página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RNF-03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Rendimiento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Procesar pedidos sin degradar la experiencia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≥ 100 pedidos/hora; crear un pedido en ≤ 5 s; Lighthouse Performance ≥ 90; LCP ≤ 2,5 s en móvil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+ prueba de carga con k6 sobre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Se mide en el S4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RNF-04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Seguridad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Contraseñas cifradas, RLS, protección contra inyección SQL/XSS, HTTPS, sin datos de tarjeta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 accesos indebidos en las pruebas de RLS; contraseñas gestionadas por Supabase Auth (bcrypt); escape de HTML en toda salida dinámica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 de seguridad por rol (Plan de Pruebas §4.3)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RLS + roles aplicados (mig. 01); salida escapada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esc()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RNF-05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Privacidad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Cumplimiento de la Ley 21.719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Política de privacidad publicada; datos mínimos; acceso solo del titular y del admin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legal + pruebas RLS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RLS listo; falta publicar la política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RNF-06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Disponibilidad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Disponible en el horario de operación de Befine según el nivel de servicio del plan gratuito del proveedor (SC-04)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Sin pausas del proyecto por inactividad; ping programado diario; aviso de caídas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Monitoreo de actividad y estado del proyecto en Supabase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Al Go-Live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RNF-07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Escalabilidad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Hasta 500 usuarios simultáneos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Sin errores 5xx con 500 usuarios virtuales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k6 (prueba de carga)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S4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RNF-08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Compatibilidad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Chrome, Firefox, Safari y Edge; PWA en Android/iOS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Flujo de compra completo en los 4 navegadores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Matriz de navegadores en el S4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Probado en Chrome/Edge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RNF-09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Trazabilidad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 auditable de cada cambio de un pedido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100 % de los cambios de estado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historial_pedido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con usuario y hora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 de integración del flujo de reparto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Diseñado (mig. 02)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RNF-10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Respaldo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Copias periódicas y recuperación sencilla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Respaldo manual semanal y antes de cada migración (</w:t>
            </w:r>
            <w:r>
              <w:rPr>
                <w:rStyle w:val="VerbatimChar"/>
                <w:rFonts w:ascii="Arial" w:hAnsi="Arial"/>
                <w:sz w:val="18"/>
              </w:rPr>
              <w:t xml:space="preserve">supabase db dump</w:t>
            </w:r>
            <w:r>
              <w:rPr>
                <w:rFonts w:ascii="Arial" w:hAnsi="Arial"/>
                <w:sz w:val="18"/>
              </w:rPr>
              <w:t xml:space="preserve">), guardado fuera de Supabase; procedimiento de restauración documentado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Simulacro de restauración en un entorno de prueba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S4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RNF-11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Mantenibilidad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Actualizar sin afectar a los usuarios; agregar productos sin tocar código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Catálogo, precios, zonas y parámetros editables desde la BD; migraciones con reversa; código por capas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de arquitectura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Arquitectura aplicada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RNF-12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Accesibilidad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WCAG 2.1 AA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Accessibility ≥ 90;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alt</w:t>
            </w:r>
            <w:r>
              <w:rPr>
                <w:rFonts w:ascii="Arial" w:hAnsi="Arial"/>
                <w:sz w:val="18"/>
              </w:rPr>
              <w:t xml:space="preserve">, foco visible,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aria-*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errores; respeta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prefers-reduced-motion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+ revisión manual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Errores accesibles en formularios y animaciones reducibles</w:t>
            </w:r>
          </w:p>
        </w:tc>
      </w:tr>
      <w:tr>
        <w:tc>
          <w:tcPr>
            <w:tcW w:w="9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RNF-13</w:t>
            </w:r>
          </w:p>
        </w:tc>
        <w:tc>
          <w:tcPr>
            <w:tcW w:w="9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SEO</w:t>
            </w:r>
          </w:p>
        </w:tc>
        <w:tc>
          <w:tcPr>
            <w:tcW w:w="32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Títulos y metadatos por página; conservar las URLs de Shopify</w:t>
            </w:r>
          </w:p>
        </w:tc>
        <w:tc>
          <w:tcPr>
            <w:tcW w:w="4927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&lt;title&gt;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meta description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únicos; redirecciones 301 desde las URLs antiguas</w:t>
            </w:r>
          </w:p>
        </w:tc>
        <w:tc>
          <w:tcPr>
            <w:tcW w:w="258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SEO ≥ 90</w:t>
            </w:r>
          </w:p>
        </w:tc>
        <w:tc>
          <w:tcPr>
            <w:tcW w:w="215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Títulos por página; faltan las redirecciones</w:t>
            </w:r>
          </w:p>
        </w:tc>
      </w:tr>
      <w:tr>
        <w:tc>
          <w:tcPr>
            <w:tcW w:w="9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RNF-14</w:t>
            </w:r>
          </w:p>
        </w:tc>
        <w:tc>
          <w:tcPr>
            <w:tcW w:w="9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Localización</w:t>
            </w:r>
          </w:p>
        </w:tc>
        <w:tc>
          <w:tcPr>
            <w:tcW w:w="32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Español de Chile y CLP</w:t>
            </w:r>
          </w:p>
        </w:tc>
        <w:tc>
          <w:tcPr>
            <w:tcW w:w="4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Montos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toLocaleString('es-CL')</w:t>
            </w:r>
            <w:r>
              <w:rPr>
                <w:rFonts w:ascii="Arial" w:hAnsi="Arial"/>
                <w:sz w:val="18"/>
              </w:rPr>
              <w:t xml:space="preserve">, sin decimales (enteros en la BD); fechas en es-CL</w:t>
            </w:r>
          </w:p>
        </w:tc>
        <w:tc>
          <w:tcPr>
            <w:tcW w:w="258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 unitarias de formato</w:t>
            </w:r>
          </w:p>
        </w:tc>
        <w:tc>
          <w:tcPr>
            <w:tcW w:w="215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</w:tbl>
    <w:bookmarkStart w:id="20" w:name="X1b60e47f7952e68fe9ba2791cc00d893790be92"/>
    <w:p>
      <w:pPr>
        <w:pStyle w:val="Heading2"/>
      </w:pPr>
      <w:r>
        <w:t xml:space="preserve">Decisiones de arquitectura que responden a los RNF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RNF-03 / RNF-13 → SC-02:</w:t>
      </w:r>
      <w:r>
        <w:t xml:space="preserve"> </w:t>
      </w:r>
      <w:r>
        <w:t xml:space="preserve">se cambió Flutter Web por HTML/CSS/JS porque Flutter descarga ~1,5–2 MB de motor antes de mostrar contenido y renderiza en</w:t>
      </w:r>
      <w:r>
        <w:t xml:space="preserve"> </w:t>
      </w:r>
      <w:r>
        <w:rPr>
          <w:iCs/>
          <w:i/>
        </w:rPr>
        <w:t xml:space="preserve">canvas</w:t>
      </w:r>
      <w:r>
        <w:t xml:space="preserve"> </w:t>
      </w:r>
      <w:r>
        <w:t xml:space="preserve">(mal SEO).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RNF-04:</w:t>
      </w:r>
      <w:r>
        <w:t xml:space="preserve"> </w:t>
      </w:r>
      <w:r>
        <w:t xml:space="preserve">los pedidos se crean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crear_pedido()</w:t>
      </w:r>
      <w:r>
        <w:t xml:space="preserve"> </w:t>
      </w:r>
      <w:r>
        <w:t xml:space="preserve">en el servidor (el navegador no decide precios ni descuentos) y el estado "pagado" lo marca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el webhook con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RNF-06 / RNF-10 → SC-04:</w:t>
      </w:r>
      <w:r>
        <w:t xml:space="preserve"> </w:t>
      </w:r>
      <w:r>
        <w:t xml:space="preserve">por decisión del cliente se usa el plan gratuito de Supabase; su pausa por inactividad se evita con un ping programado y el respaldo diario automático se reemplaza por respaldos manuales.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RNF-14:</w:t>
      </w:r>
      <w:r>
        <w:t xml:space="preserve"> </w:t>
      </w:r>
      <w:r>
        <w:t xml:space="preserve">los montos se guardan como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en CLP para evitar errores de redondeo.</w:t>
      </w:r>
    </w:p>
    <w:bookmarkEnd w:id="20"/>
    <w:bookmarkEnd w:id="21"/>
    <w:sectPr>
      <w:footerReference w:type="default" r:id="rId9"/>
      <w:headerReference w:type="default" r:id="rId10"/>
      <w:pgSz w:h="11906" w:w="16838" w:orient="landscape"/>
      <w:pgMar w:bottom="1247" w:left="1020" w:right="1020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2026-10-09T14:09:04Z</dcterms:created>
  <dcterms:modified xsi:type="dcterms:W3CDTF">2026-10-09T14:09:04Z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