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color w:val="595959"/>
          <w:sz w:val="18"/>
          <w:szCs w:val="18"/>
        </w:rPr>
        <w:t xml:space="preserve">Plaxi Solutions · Plan de Dirección del Proyecto — Befine Store</w:t>
      </w:r>
    </w:p>
    <w:p>
      <w:pPr>
        <w:spacing w:after="40" w:before="120"/>
        <w:jc w:val="center"/>
      </w:pPr>
      <w:r>
        <w:rPr>
          <w:b/>
          <w:bCs/>
          <w:color w:val="1F4E5F"/>
          <w:sz w:val="40"/>
          <w:szCs w:val="40"/>
        </w:rPr>
        <w:t xml:space="preserve">EDT y Diccionario</w:t>
      </w:r>
    </w:p>
    <w:p>
      <w:pPr>
        <w:spacing w:after="260"/>
        <w:jc w:val="center"/>
      </w:pPr>
      <w:r>
        <w:rPr>
          <w:i/>
          <w:iCs/>
          <w:color w:val="2E86AB"/>
          <w:sz w:val="20"/>
          <w:szCs w:val="20"/>
        </w:rPr>
        <w:t xml:space="preserve">Documento ANEXO A — Versión 1.1 · 9 de octubre de 2026</w:t>
      </w:r>
    </w:p>
    <w:p>
      <w:pPr>
        <w:pStyle w:val="Heading3"/>
      </w:pPr>
      <w:r>
        <w:t xml:space="preserve">Información del proyecto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6048"/>
      </w:tblGrid>
      <w:tr>
        <w:trPr>
          <w:cantSplit/>
        </w:trPr>
        <w:tc>
          <w:tcPr>
            <w:tcW w:type="dxa" w:w="3024"/>
            <w:shd w:fill="EAF2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1F4E5F"/>
                <w:sz w:val="20"/>
                <w:szCs w:val="20"/>
              </w:rPr>
              <w:t xml:space="preserve">Empresa / Organización</w:t>
            </w:r>
          </w:p>
        </w:tc>
        <w:tc>
          <w:tcPr>
            <w:tcW w:type="dxa" w:w="604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Agua Purificada Befine</w:t>
            </w:r>
          </w:p>
        </w:tc>
      </w:tr>
      <w:tr>
        <w:trPr>
          <w:cantSplit/>
        </w:trPr>
        <w:tc>
          <w:tcPr>
            <w:tcW w:type="dxa" w:w="3024"/>
            <w:shd w:fill="EAF2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1F4E5F"/>
                <w:sz w:val="20"/>
                <w:szCs w:val="20"/>
              </w:rPr>
              <w:t xml:space="preserve">Proyecto</w:t>
            </w:r>
          </w:p>
        </w:tc>
        <w:tc>
          <w:tcPr>
            <w:tcW w:type="dxa" w:w="604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Befine Store — Plataforma de comercio electrónico propia para Agua Purificada Befine</w:t>
            </w:r>
          </w:p>
        </w:tc>
      </w:tr>
      <w:tr>
        <w:trPr>
          <w:cantSplit/>
        </w:trPr>
        <w:tc>
          <w:tcPr>
            <w:tcW w:type="dxa" w:w="3024"/>
            <w:shd w:fill="EAF2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1F4E5F"/>
                <w:sz w:val="20"/>
                <w:szCs w:val="20"/>
              </w:rPr>
              <w:t xml:space="preserve">Fecha de preparación</w:t>
            </w:r>
          </w:p>
        </w:tc>
        <w:tc>
          <w:tcPr>
            <w:tcW w:type="dxa" w:w="604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10 de septiembre de 2026</w:t>
            </w:r>
          </w:p>
        </w:tc>
      </w:tr>
      <w:tr>
        <w:trPr>
          <w:cantSplit/>
        </w:trPr>
        <w:tc>
          <w:tcPr>
            <w:tcW w:type="dxa" w:w="3024"/>
            <w:shd w:fill="EAF2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1F4E5F"/>
                <w:sz w:val="20"/>
                <w:szCs w:val="20"/>
              </w:rPr>
              <w:t xml:space="preserve">Cliente</w:t>
            </w:r>
          </w:p>
        </w:tc>
        <w:tc>
          <w:tcPr>
            <w:tcW w:type="dxa" w:w="604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Agua Purificada Befine (representado por Iván Rodríguez)</w:t>
            </w:r>
          </w:p>
        </w:tc>
      </w:tr>
      <w:tr>
        <w:trPr>
          <w:cantSplit/>
        </w:trPr>
        <w:tc>
          <w:tcPr>
            <w:tcW w:type="dxa" w:w="3024"/>
            <w:shd w:fill="EAF2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1F4E5F"/>
                <w:sz w:val="20"/>
                <w:szCs w:val="20"/>
              </w:rPr>
              <w:t xml:space="preserve">Patrocinador principal</w:t>
            </w:r>
          </w:p>
        </w:tc>
        <w:tc>
          <w:tcPr>
            <w:tcW w:type="dxa" w:w="604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Iván Rodríguez (Dueño y Gerente General de Befine)</w:t>
            </w:r>
          </w:p>
        </w:tc>
      </w:tr>
      <w:tr>
        <w:trPr>
          <w:cantSplit/>
        </w:trPr>
        <w:tc>
          <w:tcPr>
            <w:tcW w:type="dxa" w:w="3024"/>
            <w:shd w:fill="EAF2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1F4E5F"/>
                <w:sz w:val="20"/>
                <w:szCs w:val="20"/>
              </w:rPr>
              <w:t xml:space="preserve">Gerente de proyecto</w:t>
            </w:r>
          </w:p>
        </w:tc>
        <w:tc>
          <w:tcPr>
            <w:tcW w:type="dxa" w:w="604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Grupo N3 — liderazgo rotativo por sprint (Iván Rodríguez, Carlos Fuentes, Felipe Moraga)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Historial de versiones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96"/>
        <w:gridCol w:w="1727"/>
        <w:gridCol w:w="2880"/>
        <w:gridCol w:w="3168"/>
      </w:tblGrid>
      <w:tr>
        <w:trPr>
          <w:cantSplit/>
          <w:tblHeader/>
        </w:trPr>
        <w:tc>
          <w:tcPr>
            <w:tcW w:type="dxa" w:w="1296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Versión</w:t>
            </w:r>
          </w:p>
        </w:tc>
        <w:tc>
          <w:tcPr>
            <w:tcW w:type="dxa" w:w="1727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Fecha</w:t>
            </w:r>
          </w:p>
        </w:tc>
        <w:tc>
          <w:tcPr>
            <w:tcW w:type="dxa" w:w="288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Autor</w:t>
            </w:r>
          </w:p>
        </w:tc>
        <w:tc>
          <w:tcPr>
            <w:tcW w:type="dxa" w:w="3168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129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1.0</w:t>
            </w:r>
          </w:p>
        </w:tc>
        <w:tc>
          <w:tcPr>
            <w:tcW w:type="dxa" w:w="172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10 de septiembre de 2026</w:t>
            </w:r>
          </w:p>
        </w:tc>
        <w:tc>
          <w:tcPr>
            <w:tcW w:type="dxa" w:w="28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Grupo N3 (Plaxi Solutions)</w:t>
            </w:r>
          </w:p>
        </w:tc>
        <w:tc>
          <w:tcPr>
            <w:tcW w:type="dxa" w:w="316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Emisión inicial para revisión del patrocinador</w:t>
            </w:r>
          </w:p>
        </w:tc>
      </w:tr>
      <w:tr>
        <w:trPr>
          <w:cantSplit/>
        </w:trPr>
        <w:tc>
          <w:tcPr>
            <w:tcW w:type="dxa" w:w="129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1.1</w:t>
            </w:r>
          </w:p>
        </w:tc>
        <w:tc>
          <w:tcPr>
            <w:tcW w:type="dxa" w:w="172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9 de octubre de 2026</w:t>
            </w:r>
          </w:p>
        </w:tc>
        <w:tc>
          <w:tcPr>
            <w:tcW w:type="dxa" w:w="28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Grupo N3 (Plaxi Solutions)</w:t>
            </w:r>
          </w:p>
        </w:tc>
        <w:tc>
          <w:tcPr>
            <w:tcW w:type="dxa" w:w="316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Actualización por SC-04 (decisión del cliente): Supabase pasa al plan gratuito; se retira el costo de Supabase Pro de la línea base ($508.795 CLP/año) y se redefine RNF-06 sin porcentaje de disponibilidad comprometido.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Aprobaciones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4"/>
        <w:gridCol w:w="3168"/>
        <w:gridCol w:w="2304"/>
        <w:gridCol w:w="1296"/>
      </w:tblGrid>
      <w:tr>
        <w:trPr>
          <w:cantSplit/>
          <w:tblHeader/>
        </w:trPr>
        <w:tc>
          <w:tcPr>
            <w:tcW w:type="dxa" w:w="2304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3168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 / Cargo</w:t>
            </w:r>
          </w:p>
        </w:tc>
        <w:tc>
          <w:tcPr>
            <w:tcW w:type="dxa" w:w="2304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Firma</w:t>
            </w:r>
          </w:p>
        </w:tc>
        <w:tc>
          <w:tcPr>
            <w:tcW w:type="dxa" w:w="1296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Fecha</w:t>
            </w:r>
          </w:p>
        </w:tc>
      </w:tr>
      <w:tr>
        <w:trPr>
          <w:cantSplit/>
        </w:trPr>
        <w:tc>
          <w:tcPr>
            <w:tcW w:type="dxa" w:w="230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Iván Rodríguez</w:t>
            </w:r>
          </w:p>
        </w:tc>
        <w:tc>
          <w:tcPr>
            <w:tcW w:type="dxa" w:w="316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Patrocinador (Dueño de Befine)</w:t>
            </w:r>
          </w:p>
        </w:tc>
        <w:tc>
          <w:tcPr>
            <w:tcW w:type="dxa" w:w="230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____________</w:t>
            </w:r>
          </w:p>
        </w:tc>
        <w:tc>
          <w:tcPr>
            <w:tcW w:type="dxa" w:w="129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__/__/2026</w:t>
            </w:r>
          </w:p>
        </w:tc>
      </w:tr>
      <w:tr>
        <w:trPr>
          <w:cantSplit/>
        </w:trPr>
        <w:tc>
          <w:tcPr>
            <w:tcW w:type="dxa" w:w="2304"/>
            <w:shd w:fill="EAF2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Carlos Fuentes</w:t>
            </w:r>
          </w:p>
        </w:tc>
        <w:tc>
          <w:tcPr>
            <w:tcW w:type="dxa" w:w="3168"/>
            <w:shd w:fill="EAF2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Equipo del proyecto (líder rotativo)</w:t>
            </w:r>
          </w:p>
        </w:tc>
        <w:tc>
          <w:tcPr>
            <w:tcW w:type="dxa" w:w="2304"/>
            <w:shd w:fill="EAF2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____________</w:t>
            </w:r>
          </w:p>
        </w:tc>
        <w:tc>
          <w:tcPr>
            <w:tcW w:type="dxa" w:w="1296"/>
            <w:shd w:fill="EAF2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__/__/2026</w:t>
            </w:r>
          </w:p>
        </w:tc>
      </w:tr>
      <w:tr>
        <w:trPr>
          <w:cantSplit/>
        </w:trPr>
        <w:tc>
          <w:tcPr>
            <w:tcW w:type="dxa" w:w="230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Felipe Moraga</w:t>
            </w:r>
          </w:p>
        </w:tc>
        <w:tc>
          <w:tcPr>
            <w:tcW w:type="dxa" w:w="316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Equipo del proyecto (líder rotativo)</w:t>
            </w:r>
          </w:p>
        </w:tc>
        <w:tc>
          <w:tcPr>
            <w:tcW w:type="dxa" w:w="230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____________</w:t>
            </w:r>
          </w:p>
        </w:tc>
        <w:tc>
          <w:tcPr>
            <w:tcW w:type="dxa" w:w="129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__/__/2026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Anexo A — Estructura de Desglose del Trabajo (EDT) y Diccionario</w:t>
      </w:r>
    </w:p>
    <w:p>
      <w:pPr>
        <w:pStyle w:val="Heading2"/>
      </w:pPr>
      <w:r>
        <w:t xml:space="preserve">A.1 Propósito</w:t>
      </w:r>
    </w:p>
    <w:p>
      <w:pPr>
        <w:spacing w:after="160" w:before="0"/>
        <w:jc w:val="both"/>
      </w:pPr>
      <w:r>
        <w:rPr>
          <w:b w:val="false"/>
          <w:bCs w:val="false"/>
          <w:i w:val="false"/>
          <w:iCs w:val="false"/>
        </w:rPr>
        <w:t xml:space="preserve">La Estructura de Desglose del Trabajo (EDT / WBS) descompone el alcance total del proyecto Befine Store en componentes y entregables jerárquicos y manejables. Es la base de las líneas base de alcance, cronograma y costo, y sobre ella se construyen la Matriz de Adquisiciones y la asignación de recursos. Se elabora con un enfoque orientado a entregables, a partir de los 25 requerimientos funcionales (RF) y 14 no funcionales (RNF) del Documento de Requerimientos y de las cinco fases de la metodología híbrida PMBOK + Scrum.</w:t>
      </w:r>
    </w:p>
    <w:p>
      <w:pPr>
        <w:spacing w:after="160" w:before="0"/>
        <w:jc w:val="both"/>
      </w:pPr>
      <w:r>
        <w:rPr>
          <w:b w:val="false"/>
          <w:bCs w:val="false"/>
          <w:i w:val="false"/>
          <w:iCs w:val="false"/>
        </w:rPr>
        <w:t xml:space="preserve">La línea base del alcance del proyecto es la versión aprobada del Enunciado del Alcance, esta EDT y el presente Diccionario de la EDT, y solo puede modificarse mediante el proceso formal de control de cambios.</w:t>
      </w:r>
    </w:p>
    <w:p>
      <w:pPr>
        <w:pStyle w:val="Heading2"/>
      </w:pPr>
      <w:r>
        <w:t xml:space="preserve">A.2 EDT — Vista jerárquica</w:t>
      </w:r>
    </w:p>
    <w:p>
      <w:pPr>
        <w:spacing w:after="160" w:before="0"/>
        <w:jc w:val="both"/>
      </w:pPr>
      <w:r>
        <w:rPr>
          <w:b w:val="false"/>
          <w:bCs w:val="false"/>
          <w:i w:val="false"/>
          <w:iCs w:val="false"/>
        </w:rPr>
        <w:t xml:space="preserve">El proyecto se descompone en 8 componentes de primer nivel:</w:t>
      </w:r>
    </w:p>
    <w:p>
      <w:pPr>
        <w:shd w:fill="EAF2F4" w:val="clear"/>
        <w:spacing w:after="40" w:before="120"/>
      </w:pPr>
      <w:r>
        <w:rPr>
          <w:b/>
          <w:bCs/>
          <w:color w:val="1F4E5F"/>
          <w:sz w:val="22"/>
          <w:szCs w:val="22"/>
        </w:rPr>
        <w:t xml:space="preserve">1  Gestión del Proyecto</w:t>
      </w:r>
    </w:p>
    <w:p>
      <w:pPr>
        <w:spacing w:after="30"/>
        <w:ind w:left="360"/>
      </w:pPr>
      <w:r>
        <w:rPr>
          <w:b/>
          <w:bCs/>
          <w:color w:val="2E86AB"/>
          <w:sz w:val="20"/>
          <w:szCs w:val="20"/>
        </w:rPr>
        <w:t xml:space="preserve">1.1  </w:t>
      </w:r>
      <w:r>
        <w:rPr>
          <w:sz w:val="20"/>
          <w:szCs w:val="20"/>
        </w:rPr>
        <w:t xml:space="preserve">Inicio</w:t>
      </w:r>
    </w:p>
    <w:p>
      <w:pPr>
        <w:spacing w:after="30"/>
        <w:ind w:left="360"/>
      </w:pPr>
      <w:r>
        <w:rPr>
          <w:b/>
          <w:bCs/>
          <w:color w:val="2E86AB"/>
          <w:sz w:val="20"/>
          <w:szCs w:val="20"/>
        </w:rPr>
        <w:t xml:space="preserve">1.2  </w:t>
      </w:r>
      <w:r>
        <w:rPr>
          <w:sz w:val="20"/>
          <w:szCs w:val="20"/>
        </w:rPr>
        <w:t xml:space="preserve">Planificación</w:t>
      </w:r>
    </w:p>
    <w:p>
      <w:pPr>
        <w:spacing w:after="30"/>
        <w:ind w:left="360"/>
      </w:pPr>
      <w:r>
        <w:rPr>
          <w:b/>
          <w:bCs/>
          <w:color w:val="2E86AB"/>
          <w:sz w:val="20"/>
          <w:szCs w:val="20"/>
        </w:rPr>
        <w:t xml:space="preserve">1.3  </w:t>
      </w:r>
      <w:r>
        <w:rPr>
          <w:sz w:val="20"/>
          <w:szCs w:val="20"/>
        </w:rPr>
        <w:t xml:space="preserve">Seguimiento y control</w:t>
      </w:r>
    </w:p>
    <w:p>
      <w:pPr>
        <w:spacing w:after="30"/>
        <w:ind w:left="360"/>
      </w:pPr>
      <w:r>
        <w:rPr>
          <w:b/>
          <w:bCs/>
          <w:color w:val="2E86AB"/>
          <w:sz w:val="20"/>
          <w:szCs w:val="20"/>
        </w:rPr>
        <w:t xml:space="preserve">1.4  </w:t>
      </w:r>
      <w:r>
        <w:rPr>
          <w:sz w:val="20"/>
          <w:szCs w:val="20"/>
        </w:rPr>
        <w:t xml:space="preserve">Cierre</w:t>
      </w:r>
    </w:p>
    <w:p>
      <w:pPr>
        <w:shd w:fill="EAF2F4" w:val="clear"/>
        <w:spacing w:after="40" w:before="120"/>
      </w:pPr>
      <w:r>
        <w:rPr>
          <w:b/>
          <w:bCs/>
          <w:color w:val="1F4E5F"/>
          <w:sz w:val="22"/>
          <w:szCs w:val="22"/>
        </w:rPr>
        <w:t xml:space="preserve">2  Análisis y Diseño</w:t>
      </w:r>
    </w:p>
    <w:p>
      <w:pPr>
        <w:spacing w:after="30"/>
        <w:ind w:left="360"/>
      </w:pPr>
      <w:r>
        <w:rPr>
          <w:b/>
          <w:bCs/>
          <w:color w:val="2E86AB"/>
          <w:sz w:val="20"/>
          <w:szCs w:val="20"/>
        </w:rPr>
        <w:t xml:space="preserve">2.1  </w:t>
      </w:r>
      <w:r>
        <w:rPr>
          <w:sz w:val="20"/>
          <w:szCs w:val="20"/>
        </w:rPr>
        <w:t xml:space="preserve">Documento de requerimientos (RF/RNF)</w:t>
      </w:r>
    </w:p>
    <w:p>
      <w:pPr>
        <w:spacing w:after="30"/>
        <w:ind w:left="360"/>
      </w:pPr>
      <w:r>
        <w:rPr>
          <w:b/>
          <w:bCs/>
          <w:color w:val="2E86AB"/>
          <w:sz w:val="20"/>
          <w:szCs w:val="20"/>
        </w:rPr>
        <w:t xml:space="preserve">2.2  </w:t>
      </w:r>
      <w:r>
        <w:rPr>
          <w:sz w:val="20"/>
          <w:szCs w:val="20"/>
        </w:rPr>
        <w:t xml:space="preserve">Arquitectura de la solución</w:t>
      </w:r>
    </w:p>
    <w:p>
      <w:pPr>
        <w:spacing w:after="30"/>
        <w:ind w:left="360"/>
      </w:pPr>
      <w:r>
        <w:rPr>
          <w:b/>
          <w:bCs/>
          <w:color w:val="2E86AB"/>
          <w:sz w:val="20"/>
          <w:szCs w:val="20"/>
        </w:rPr>
        <w:t xml:space="preserve">2.3  </w:t>
      </w:r>
      <w:r>
        <w:rPr>
          <w:sz w:val="20"/>
          <w:szCs w:val="20"/>
        </w:rPr>
        <w:t xml:space="preserve">Modelo de datos relacional</w:t>
      </w:r>
    </w:p>
    <w:p>
      <w:pPr>
        <w:spacing w:after="30"/>
        <w:ind w:left="360"/>
      </w:pPr>
      <w:r>
        <w:rPr>
          <w:b/>
          <w:bCs/>
          <w:color w:val="2E86AB"/>
          <w:sz w:val="20"/>
          <w:szCs w:val="20"/>
        </w:rPr>
        <w:t xml:space="preserve">2.4  </w:t>
      </w:r>
      <w:r>
        <w:rPr>
          <w:sz w:val="20"/>
          <w:szCs w:val="20"/>
        </w:rPr>
        <w:t xml:space="preserve">Diseño de interfaz (Figma, mobile-first)</w:t>
      </w:r>
    </w:p>
    <w:p>
      <w:pPr>
        <w:shd w:fill="EAF2F4" w:val="clear"/>
        <w:spacing w:after="40" w:before="120"/>
      </w:pPr>
      <w:r>
        <w:rPr>
          <w:b/>
          <w:bCs/>
          <w:color w:val="1F4E5F"/>
          <w:sz w:val="22"/>
          <w:szCs w:val="22"/>
        </w:rPr>
        <w:t xml:space="preserve">3  Módulo Cliente (Landing / Tienda en línea)</w:t>
      </w:r>
    </w:p>
    <w:p>
      <w:pPr>
        <w:spacing w:after="30"/>
        <w:ind w:left="360"/>
      </w:pPr>
      <w:r>
        <w:rPr>
          <w:b/>
          <w:bCs/>
          <w:color w:val="2E86AB"/>
          <w:sz w:val="20"/>
          <w:szCs w:val="20"/>
        </w:rPr>
        <w:t xml:space="preserve">3.1  </w:t>
      </w:r>
      <w:r>
        <w:rPr>
          <w:sz w:val="20"/>
          <w:szCs w:val="20"/>
        </w:rPr>
        <w:t xml:space="preserve">Autenticación y cuentas</w:t>
      </w:r>
    </w:p>
    <w:p>
      <w:pPr>
        <w:spacing w:after="30"/>
        <w:ind w:left="360"/>
      </w:pPr>
      <w:r>
        <w:rPr>
          <w:b/>
          <w:bCs/>
          <w:color w:val="2E86AB"/>
          <w:sz w:val="20"/>
          <w:szCs w:val="20"/>
        </w:rPr>
        <w:t xml:space="preserve">3.2  </w:t>
      </w:r>
      <w:r>
        <w:rPr>
          <w:sz w:val="20"/>
          <w:szCs w:val="20"/>
        </w:rPr>
        <w:t xml:space="preserve">Catálogo y ficha de producto</w:t>
      </w:r>
    </w:p>
    <w:p>
      <w:pPr>
        <w:spacing w:after="30"/>
        <w:ind w:left="360"/>
      </w:pPr>
      <w:r>
        <w:rPr>
          <w:b/>
          <w:bCs/>
          <w:color w:val="2E86AB"/>
          <w:sz w:val="20"/>
          <w:szCs w:val="20"/>
        </w:rPr>
        <w:t xml:space="preserve">3.3  </w:t>
      </w:r>
      <w:r>
        <w:rPr>
          <w:sz w:val="20"/>
          <w:szCs w:val="20"/>
        </w:rPr>
        <w:t xml:space="preserve">Carrito y checkout por zona</w:t>
      </w:r>
    </w:p>
    <w:p>
      <w:pPr>
        <w:spacing w:after="30"/>
        <w:ind w:left="360"/>
      </w:pPr>
      <w:r>
        <w:rPr>
          <w:b/>
          <w:bCs/>
          <w:color w:val="2E86AB"/>
          <w:sz w:val="20"/>
          <w:szCs w:val="20"/>
        </w:rPr>
        <w:t xml:space="preserve">3.4  </w:t>
      </w:r>
      <w:r>
        <w:rPr>
          <w:sz w:val="20"/>
          <w:szCs w:val="20"/>
        </w:rPr>
        <w:t xml:space="preserve">Pagos en línea</w:t>
      </w:r>
    </w:p>
    <w:p>
      <w:pPr>
        <w:spacing w:after="30"/>
        <w:ind w:left="360"/>
      </w:pPr>
      <w:r>
        <w:rPr>
          <w:b/>
          <w:bCs/>
          <w:color w:val="2E86AB"/>
          <w:sz w:val="20"/>
          <w:szCs w:val="20"/>
        </w:rPr>
        <w:t xml:space="preserve">3.5  </w:t>
      </w:r>
      <w:r>
        <w:rPr>
          <w:sz w:val="20"/>
          <w:szCs w:val="20"/>
        </w:rPr>
        <w:t xml:space="preserve">Facturación electrónica</w:t>
      </w:r>
    </w:p>
    <w:p>
      <w:pPr>
        <w:spacing w:after="30"/>
        <w:ind w:left="360"/>
      </w:pPr>
      <w:r>
        <w:rPr>
          <w:b/>
          <w:bCs/>
          <w:color w:val="2E86AB"/>
          <w:sz w:val="20"/>
          <w:szCs w:val="20"/>
        </w:rPr>
        <w:t xml:space="preserve">3.6  </w:t>
      </w:r>
      <w:r>
        <w:rPr>
          <w:sz w:val="20"/>
          <w:szCs w:val="20"/>
        </w:rPr>
        <w:t xml:space="preserve">Pedidos, notificaciones e historial</w:t>
      </w:r>
    </w:p>
    <w:p>
      <w:pPr>
        <w:spacing w:after="30"/>
        <w:ind w:left="360"/>
      </w:pPr>
      <w:r>
        <w:rPr>
          <w:b/>
          <w:bCs/>
          <w:color w:val="2E86AB"/>
          <w:sz w:val="20"/>
          <w:szCs w:val="20"/>
        </w:rPr>
        <w:t xml:space="preserve">3.7  </w:t>
      </w:r>
      <w:r>
        <w:rPr>
          <w:sz w:val="20"/>
          <w:szCs w:val="20"/>
        </w:rPr>
        <w:t xml:space="preserve">Fidelización por puntos</w:t>
      </w:r>
    </w:p>
    <w:p>
      <w:pPr>
        <w:spacing w:after="30"/>
        <w:ind w:left="360"/>
      </w:pPr>
      <w:r>
        <w:rPr>
          <w:b/>
          <w:bCs/>
          <w:color w:val="2E86AB"/>
          <w:sz w:val="20"/>
          <w:szCs w:val="20"/>
        </w:rPr>
        <w:t xml:space="preserve">3.8  </w:t>
      </w:r>
      <w:r>
        <w:rPr>
          <w:sz w:val="20"/>
          <w:szCs w:val="20"/>
        </w:rPr>
        <w:t xml:space="preserve">Contenido institucional y contacto</w:t>
      </w:r>
    </w:p>
    <w:p>
      <w:pPr>
        <w:shd w:fill="EAF2F4" w:val="clear"/>
        <w:spacing w:after="40" w:before="120"/>
      </w:pPr>
      <w:r>
        <w:rPr>
          <w:b/>
          <w:bCs/>
          <w:color w:val="1F4E5F"/>
          <w:sz w:val="22"/>
          <w:szCs w:val="22"/>
        </w:rPr>
        <w:t xml:space="preserve">4  Módulo Administrador (Panel de gestión)</w:t>
      </w:r>
    </w:p>
    <w:p>
      <w:pPr>
        <w:spacing w:after="30"/>
        <w:ind w:left="360"/>
      </w:pPr>
      <w:r>
        <w:rPr>
          <w:b/>
          <w:bCs/>
          <w:color w:val="2E86AB"/>
          <w:sz w:val="20"/>
          <w:szCs w:val="20"/>
        </w:rPr>
        <w:t xml:space="preserve">4.1  </w:t>
      </w:r>
      <w:r>
        <w:rPr>
          <w:sz w:val="20"/>
          <w:szCs w:val="20"/>
        </w:rPr>
        <w:t xml:space="preserve">Dashboard y métricas</w:t>
      </w:r>
    </w:p>
    <w:p>
      <w:pPr>
        <w:spacing w:after="30"/>
        <w:ind w:left="360"/>
      </w:pPr>
      <w:r>
        <w:rPr>
          <w:b/>
          <w:bCs/>
          <w:color w:val="2E86AB"/>
          <w:sz w:val="20"/>
          <w:szCs w:val="20"/>
        </w:rPr>
        <w:t xml:space="preserve">4.2  </w:t>
      </w:r>
      <w:r>
        <w:rPr>
          <w:sz w:val="20"/>
          <w:szCs w:val="20"/>
        </w:rPr>
        <w:t xml:space="preserve">Gestión de pedidos</w:t>
      </w:r>
    </w:p>
    <w:p>
      <w:pPr>
        <w:spacing w:after="30"/>
        <w:ind w:left="360"/>
      </w:pPr>
      <w:r>
        <w:rPr>
          <w:b/>
          <w:bCs/>
          <w:color w:val="2E86AB"/>
          <w:sz w:val="20"/>
          <w:szCs w:val="20"/>
        </w:rPr>
        <w:t xml:space="preserve">4.3  </w:t>
      </w:r>
      <w:r>
        <w:rPr>
          <w:sz w:val="20"/>
          <w:szCs w:val="20"/>
        </w:rPr>
        <w:t xml:space="preserve">Catálogo e inventario</w:t>
      </w:r>
    </w:p>
    <w:p>
      <w:pPr>
        <w:spacing w:after="30"/>
        <w:ind w:left="360"/>
      </w:pPr>
      <w:r>
        <w:rPr>
          <w:b/>
          <w:bCs/>
          <w:color w:val="2E86AB"/>
          <w:sz w:val="20"/>
          <w:szCs w:val="20"/>
        </w:rPr>
        <w:t xml:space="preserve">4.4  </w:t>
      </w:r>
      <w:r>
        <w:rPr>
          <w:sz w:val="20"/>
          <w:szCs w:val="20"/>
        </w:rPr>
        <w:t xml:space="preserve">Clientes y descuentos</w:t>
      </w:r>
    </w:p>
    <w:p>
      <w:pPr>
        <w:spacing w:after="30"/>
        <w:ind w:left="360"/>
      </w:pPr>
      <w:r>
        <w:rPr>
          <w:b/>
          <w:bCs/>
          <w:color w:val="2E86AB"/>
          <w:sz w:val="20"/>
          <w:szCs w:val="20"/>
        </w:rPr>
        <w:t xml:space="preserve">4.5  </w:t>
      </w:r>
      <w:r>
        <w:rPr>
          <w:sz w:val="20"/>
          <w:szCs w:val="20"/>
        </w:rPr>
        <w:t xml:space="preserve">Configuración (zonas, pagos, CMS)</w:t>
      </w:r>
    </w:p>
    <w:p>
      <w:pPr>
        <w:spacing w:after="30"/>
        <w:ind w:left="360"/>
      </w:pPr>
      <w:r>
        <w:rPr>
          <w:b/>
          <w:bCs/>
          <w:color w:val="2E86AB"/>
          <w:sz w:val="20"/>
          <w:szCs w:val="20"/>
        </w:rPr>
        <w:t xml:space="preserve">4.6  </w:t>
      </w:r>
      <w:r>
        <w:rPr>
          <w:sz w:val="20"/>
          <w:szCs w:val="20"/>
        </w:rPr>
        <w:t xml:space="preserve">Informes y datos</w:t>
      </w:r>
    </w:p>
    <w:p>
      <w:pPr>
        <w:shd w:fill="EAF2F4" w:val="clear"/>
        <w:spacing w:after="40" w:before="120"/>
      </w:pPr>
      <w:r>
        <w:rPr>
          <w:b/>
          <w:bCs/>
          <w:color w:val="1F4E5F"/>
          <w:sz w:val="22"/>
          <w:szCs w:val="22"/>
        </w:rPr>
        <w:t xml:space="preserve">5  Requisitos No Funcionales y Seguridad</w:t>
      </w:r>
    </w:p>
    <w:p>
      <w:pPr>
        <w:spacing w:after="30"/>
        <w:ind w:left="360"/>
      </w:pPr>
      <w:r>
        <w:rPr>
          <w:b/>
          <w:bCs/>
          <w:color w:val="2E86AB"/>
          <w:sz w:val="20"/>
          <w:szCs w:val="20"/>
        </w:rPr>
        <w:t xml:space="preserve">5.1  </w:t>
      </w:r>
      <w:r>
        <w:rPr>
          <w:sz w:val="20"/>
          <w:szCs w:val="20"/>
        </w:rPr>
        <w:t xml:space="preserve">Seguridad y datos personales</w:t>
      </w:r>
    </w:p>
    <w:p>
      <w:pPr>
        <w:spacing w:after="30"/>
        <w:ind w:left="360"/>
      </w:pPr>
      <w:r>
        <w:rPr>
          <w:b/>
          <w:bCs/>
          <w:color w:val="2E86AB"/>
          <w:sz w:val="20"/>
          <w:szCs w:val="20"/>
        </w:rPr>
        <w:t xml:space="preserve">5.2  </w:t>
      </w:r>
      <w:r>
        <w:rPr>
          <w:sz w:val="20"/>
          <w:szCs w:val="20"/>
        </w:rPr>
        <w:t xml:space="preserve">Rendimiento, disponibilidad y escalabilidad</w:t>
      </w:r>
    </w:p>
    <w:p>
      <w:pPr>
        <w:spacing w:after="30"/>
        <w:ind w:left="360"/>
      </w:pPr>
      <w:r>
        <w:rPr>
          <w:b/>
          <w:bCs/>
          <w:color w:val="2E86AB"/>
          <w:sz w:val="20"/>
          <w:szCs w:val="20"/>
        </w:rPr>
        <w:t xml:space="preserve">5.3  </w:t>
      </w:r>
      <w:r>
        <w:rPr>
          <w:sz w:val="20"/>
          <w:szCs w:val="20"/>
        </w:rPr>
        <w:t xml:space="preserve">Usabilidad, accesibilidad, SEO y localización</w:t>
      </w:r>
    </w:p>
    <w:p>
      <w:pPr>
        <w:spacing w:after="30"/>
        <w:ind w:left="360"/>
      </w:pPr>
      <w:r>
        <w:rPr>
          <w:b/>
          <w:bCs/>
          <w:color w:val="2E86AB"/>
          <w:sz w:val="20"/>
          <w:szCs w:val="20"/>
        </w:rPr>
        <w:t xml:space="preserve">5.4  </w:t>
      </w:r>
      <w:r>
        <w:rPr>
          <w:sz w:val="20"/>
          <w:szCs w:val="20"/>
        </w:rPr>
        <w:t xml:space="preserve">Trazabilidad, respaldo y mantenibilidad</w:t>
      </w:r>
    </w:p>
    <w:p>
      <w:pPr>
        <w:shd w:fill="EAF2F4" w:val="clear"/>
        <w:spacing w:after="40" w:before="120"/>
      </w:pPr>
      <w:r>
        <w:rPr>
          <w:b/>
          <w:bCs/>
          <w:color w:val="1F4E5F"/>
          <w:sz w:val="22"/>
          <w:szCs w:val="22"/>
        </w:rPr>
        <w:t xml:space="preserve">6  Calidad y Pruebas</w:t>
      </w:r>
    </w:p>
    <w:p>
      <w:pPr>
        <w:spacing w:after="30"/>
        <w:ind w:left="360"/>
      </w:pPr>
      <w:r>
        <w:rPr>
          <w:b/>
          <w:bCs/>
          <w:color w:val="2E86AB"/>
          <w:sz w:val="20"/>
          <w:szCs w:val="20"/>
        </w:rPr>
        <w:t xml:space="preserve">6.1  </w:t>
      </w:r>
      <w:r>
        <w:rPr>
          <w:sz w:val="20"/>
          <w:szCs w:val="20"/>
        </w:rPr>
        <w:t xml:space="preserve">Plan de pruebas</w:t>
      </w:r>
    </w:p>
    <w:p>
      <w:pPr>
        <w:spacing w:after="30"/>
        <w:ind w:left="360"/>
      </w:pPr>
      <w:r>
        <w:rPr>
          <w:b/>
          <w:bCs/>
          <w:color w:val="2E86AB"/>
          <w:sz w:val="20"/>
          <w:szCs w:val="20"/>
        </w:rPr>
        <w:t xml:space="preserve">6.2  </w:t>
      </w:r>
      <w:r>
        <w:rPr>
          <w:sz w:val="20"/>
          <w:szCs w:val="20"/>
        </w:rPr>
        <w:t xml:space="preserve">Pruebas unitarias e integración</w:t>
      </w:r>
    </w:p>
    <w:p>
      <w:pPr>
        <w:spacing w:after="30"/>
        <w:ind w:left="360"/>
      </w:pPr>
      <w:r>
        <w:rPr>
          <w:b/>
          <w:bCs/>
          <w:color w:val="2E86AB"/>
          <w:sz w:val="20"/>
          <w:szCs w:val="20"/>
        </w:rPr>
        <w:t xml:space="preserve">6.3  </w:t>
      </w:r>
      <w:r>
        <w:rPr>
          <w:sz w:val="20"/>
          <w:szCs w:val="20"/>
        </w:rPr>
        <w:t xml:space="preserve">Pruebas de seguridad y rendimiento</w:t>
      </w:r>
    </w:p>
    <w:p>
      <w:pPr>
        <w:spacing w:after="30"/>
        <w:ind w:left="360"/>
      </w:pPr>
      <w:r>
        <w:rPr>
          <w:b/>
          <w:bCs/>
          <w:color w:val="2E86AB"/>
          <w:sz w:val="20"/>
          <w:szCs w:val="20"/>
        </w:rPr>
        <w:t xml:space="preserve">6.4  </w:t>
      </w:r>
      <w:r>
        <w:rPr>
          <w:sz w:val="20"/>
          <w:szCs w:val="20"/>
        </w:rPr>
        <w:t xml:space="preserve">Pruebas de aceptación de usuario (UAT)</w:t>
      </w:r>
    </w:p>
    <w:p>
      <w:pPr>
        <w:shd w:fill="EAF2F4" w:val="clear"/>
        <w:spacing w:after="40" w:before="120"/>
      </w:pPr>
      <w:r>
        <w:rPr>
          <w:b/>
          <w:bCs/>
          <w:color w:val="1F4E5F"/>
          <w:sz w:val="22"/>
          <w:szCs w:val="22"/>
        </w:rPr>
        <w:t xml:space="preserve">7  Despliegue y Puesta en Marcha</w:t>
      </w:r>
    </w:p>
    <w:p>
      <w:pPr>
        <w:spacing w:after="30"/>
        <w:ind w:left="360"/>
      </w:pPr>
      <w:r>
        <w:rPr>
          <w:b/>
          <w:bCs/>
          <w:color w:val="2E86AB"/>
          <w:sz w:val="20"/>
          <w:szCs w:val="20"/>
        </w:rPr>
        <w:t xml:space="preserve">7.1  </w:t>
      </w:r>
      <w:r>
        <w:rPr>
          <w:sz w:val="20"/>
          <w:szCs w:val="20"/>
        </w:rPr>
        <w:t xml:space="preserve">Contenerización (Docker)</w:t>
      </w:r>
    </w:p>
    <w:p>
      <w:pPr>
        <w:spacing w:after="30"/>
        <w:ind w:left="360"/>
      </w:pPr>
      <w:r>
        <w:rPr>
          <w:b/>
          <w:bCs/>
          <w:color w:val="2E86AB"/>
          <w:sz w:val="20"/>
          <w:szCs w:val="20"/>
        </w:rPr>
        <w:t xml:space="preserve">7.2  </w:t>
      </w:r>
      <w:r>
        <w:rPr>
          <w:sz w:val="20"/>
          <w:szCs w:val="20"/>
        </w:rPr>
        <w:t xml:space="preserve">Migración de datos desde Shopify</w:t>
      </w:r>
    </w:p>
    <w:p>
      <w:pPr>
        <w:spacing w:after="30"/>
        <w:ind w:left="360"/>
      </w:pPr>
      <w:r>
        <w:rPr>
          <w:b/>
          <w:bCs/>
          <w:color w:val="2E86AB"/>
          <w:sz w:val="20"/>
          <w:szCs w:val="20"/>
        </w:rPr>
        <w:t xml:space="preserve">7.3  </w:t>
      </w:r>
      <w:r>
        <w:rPr>
          <w:sz w:val="20"/>
          <w:szCs w:val="20"/>
        </w:rPr>
        <w:t xml:space="preserve">Go-Live</w:t>
      </w:r>
    </w:p>
    <w:p>
      <w:pPr>
        <w:shd w:fill="EAF2F4" w:val="clear"/>
        <w:spacing w:after="40" w:before="120"/>
      </w:pPr>
      <w:r>
        <w:rPr>
          <w:b/>
          <w:bCs/>
          <w:color w:val="1F4E5F"/>
          <w:sz w:val="22"/>
          <w:szCs w:val="22"/>
        </w:rPr>
        <w:t xml:space="preserve">8  Documentación, Capacitación y Cierre académico</w:t>
      </w:r>
    </w:p>
    <w:p>
      <w:pPr>
        <w:spacing w:after="30"/>
        <w:ind w:left="360"/>
      </w:pPr>
      <w:r>
        <w:rPr>
          <w:b/>
          <w:bCs/>
          <w:color w:val="2E86AB"/>
          <w:sz w:val="20"/>
          <w:szCs w:val="20"/>
        </w:rPr>
        <w:t xml:space="preserve">8.1  </w:t>
      </w:r>
      <w:r>
        <w:rPr>
          <w:sz w:val="20"/>
          <w:szCs w:val="20"/>
        </w:rPr>
        <w:t xml:space="preserve">Manual técnico</w:t>
      </w:r>
    </w:p>
    <w:p>
      <w:pPr>
        <w:spacing w:after="30"/>
        <w:ind w:left="360"/>
      </w:pPr>
      <w:r>
        <w:rPr>
          <w:b/>
          <w:bCs/>
          <w:color w:val="2E86AB"/>
          <w:sz w:val="20"/>
          <w:szCs w:val="20"/>
        </w:rPr>
        <w:t xml:space="preserve">8.2  </w:t>
      </w:r>
      <w:r>
        <w:rPr>
          <w:sz w:val="20"/>
          <w:szCs w:val="20"/>
        </w:rPr>
        <w:t xml:space="preserve">Manual de usuario y videos</w:t>
      </w:r>
    </w:p>
    <w:p>
      <w:pPr>
        <w:spacing w:after="30"/>
        <w:ind w:left="360"/>
      </w:pPr>
      <w:r>
        <w:rPr>
          <w:b/>
          <w:bCs/>
          <w:color w:val="2E86AB"/>
          <w:sz w:val="20"/>
          <w:szCs w:val="20"/>
        </w:rPr>
        <w:t xml:space="preserve">8.3  </w:t>
      </w:r>
      <w:r>
        <w:rPr>
          <w:sz w:val="20"/>
          <w:szCs w:val="20"/>
        </w:rPr>
        <w:t xml:space="preserve">Capacitación</w:t>
      </w:r>
    </w:p>
    <w:p>
      <w:pPr>
        <w:spacing w:after="30"/>
        <w:ind w:left="360"/>
      </w:pPr>
      <w:r>
        <w:rPr>
          <w:b/>
          <w:bCs/>
          <w:color w:val="2E86AB"/>
          <w:sz w:val="20"/>
          <w:szCs w:val="20"/>
        </w:rPr>
        <w:t xml:space="preserve">8.4  </w:t>
      </w:r>
      <w:r>
        <w:rPr>
          <w:sz w:val="20"/>
          <w:szCs w:val="20"/>
        </w:rPr>
        <w:t xml:space="preserve">Informe final y defensa</w:t>
      </w:r>
    </w:p>
    <w:p>
      <w:r>
        <w:br w:type="page"/>
      </w:r>
    </w:p>
    <w:p>
      <w:pPr>
        <w:pStyle w:val="Heading2"/>
      </w:pPr>
      <w:r>
        <w:t xml:space="preserve">A.3 Diccionario de la EDT</w:t>
      </w:r>
    </w:p>
    <w:p>
      <w:pPr>
        <w:spacing w:after="160" w:before="0"/>
        <w:jc w:val="both"/>
      </w:pPr>
      <w:r>
        <w:rPr>
          <w:b w:val="false"/>
          <w:bCs w:val="false"/>
          <w:i w:val="false"/>
          <w:iCs w:val="false"/>
        </w:rPr>
        <w:t xml:space="preserve">Para cada paquete de trabajo de segundo nivel se documenta su código, nombre, descripción del entregable y los requerimientos asociados que satisface.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900"/>
        <w:gridCol w:w="4300"/>
      </w:tblGrid>
      <w:tr>
        <w:trPr>
          <w:cantSplit/>
          <w:tblHeader/>
        </w:trPr>
        <w:tc>
          <w:tcPr>
            <w:tcW w:type="dxa" w:w="9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dxa" w:w="29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Paquete de trabajo / Entregable</w:t>
            </w:r>
          </w:p>
        </w:tc>
        <w:tc>
          <w:tcPr>
            <w:tcW w:type="dxa" w:w="43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Descripción y requerimientos asociados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Gestión del Proyecto (componente)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Dirección, planificación, seguimiento y cierre del proyecto según PMBOK.</w:t>
            </w:r>
          </w:p>
        </w:tc>
      </w:tr>
      <w:tr>
        <w:trPr>
          <w:cantSplit/>
        </w:trPr>
        <w:tc>
          <w:tcPr>
            <w:tcW w:type="dxa" w:w="900"/>
            <w:shd w:fill="EAF2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1.1</w:t>
            </w:r>
          </w:p>
        </w:tc>
        <w:tc>
          <w:tcPr>
            <w:tcW w:type="dxa" w:w="2900"/>
            <w:shd w:fill="EAF2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Inicio</w:t>
            </w:r>
          </w:p>
        </w:tc>
        <w:tc>
          <w:tcPr>
            <w:tcW w:type="dxa" w:w="4300"/>
            <w:shd w:fill="EAF2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Acta de Constitución aprobada e identificación de interesados.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1.2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Planificación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Plan de Dirección del Proyecto (12 planes de gestión), EDT y línea base.</w:t>
            </w:r>
          </w:p>
        </w:tc>
      </w:tr>
      <w:tr>
        <w:trPr>
          <w:cantSplit/>
        </w:trPr>
        <w:tc>
          <w:tcPr>
            <w:tcW w:type="dxa" w:w="900"/>
            <w:shd w:fill="EAF2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1.3</w:t>
            </w:r>
          </w:p>
        </w:tc>
        <w:tc>
          <w:tcPr>
            <w:tcW w:type="dxa" w:w="2900"/>
            <w:shd w:fill="EAF2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Seguimiento y control</w:t>
            </w:r>
          </w:p>
        </w:tc>
        <w:tc>
          <w:tcPr>
            <w:tcW w:type="dxa" w:w="4300"/>
            <w:shd w:fill="EAF2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Control transversal de alcance, cronograma, costos, calidad, riesgos, cambios y configuración.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1.4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Cierre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Cierre de presupuesto/alcance/cronograma, informe final, lecciones aprendidas y defensa ante comisión.</w:t>
            </w:r>
          </w:p>
        </w:tc>
      </w:tr>
      <w:tr>
        <w:trPr>
          <w:cantSplit/>
        </w:trPr>
        <w:tc>
          <w:tcPr>
            <w:tcW w:type="dxa" w:w="900"/>
            <w:shd w:fill="EAF2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2900"/>
            <w:shd w:fill="EAF2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Análisis y Diseño (componente)</w:t>
            </w:r>
          </w:p>
        </w:tc>
        <w:tc>
          <w:tcPr>
            <w:tcW w:type="dxa" w:w="4300"/>
            <w:shd w:fill="EAF2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Levantamiento de requisitos y diseño técnico de la solución.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2.1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Documento de requerimientos (RF/RNF)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25 requisitos funcionales y 14 no funcionales levantados desde la operación Shopify.</w:t>
            </w:r>
          </w:p>
        </w:tc>
      </w:tr>
      <w:tr>
        <w:trPr>
          <w:cantSplit/>
        </w:trPr>
        <w:tc>
          <w:tcPr>
            <w:tcW w:type="dxa" w:w="900"/>
            <w:shd w:fill="EAF2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2.2</w:t>
            </w:r>
          </w:p>
        </w:tc>
        <w:tc>
          <w:tcPr>
            <w:tcW w:type="dxa" w:w="2900"/>
            <w:shd w:fill="EAF2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Arquitectura de la solución</w:t>
            </w:r>
          </w:p>
        </w:tc>
        <w:tc>
          <w:tcPr>
            <w:tcW w:type="dxa" w:w="4300"/>
            <w:shd w:fill="EAF2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Arquitectura Flutter (web mobile-first/PWA) + Supabase (PostgreSQL, Auth, Edge Functions).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2.3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Modelo de datos relacional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Modelo de catálogo, variantes, clientes, pedidos, puntos y zonas de despacho.</w:t>
            </w:r>
          </w:p>
        </w:tc>
      </w:tr>
      <w:tr>
        <w:trPr>
          <w:cantSplit/>
        </w:trPr>
        <w:tc>
          <w:tcPr>
            <w:tcW w:type="dxa" w:w="900"/>
            <w:shd w:fill="EAF2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2.4</w:t>
            </w:r>
          </w:p>
        </w:tc>
        <w:tc>
          <w:tcPr>
            <w:tcW w:type="dxa" w:w="2900"/>
            <w:shd w:fill="EAF2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Diseño de interfaz (Figma, mobile-first)</w:t>
            </w:r>
          </w:p>
        </w:tc>
        <w:tc>
          <w:tcPr>
            <w:tcW w:type="dxa" w:w="4300"/>
            <w:shd w:fill="EAF2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Prototipos de tienda y panel de administración, responsivos.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Módulo Cliente (Landing / Tienda en línea) (componente)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Tienda en línea de cara al cliente (RF-01 a RF-14).</w:t>
            </w:r>
          </w:p>
        </w:tc>
      </w:tr>
      <w:tr>
        <w:trPr>
          <w:cantSplit/>
        </w:trPr>
        <w:tc>
          <w:tcPr>
            <w:tcW w:type="dxa" w:w="900"/>
            <w:shd w:fill="EAF2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3.1</w:t>
            </w:r>
          </w:p>
        </w:tc>
        <w:tc>
          <w:tcPr>
            <w:tcW w:type="dxa" w:w="2900"/>
            <w:shd w:fill="EAF2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Autenticación y cuentas</w:t>
            </w:r>
          </w:p>
        </w:tc>
        <w:tc>
          <w:tcPr>
            <w:tcW w:type="dxa" w:w="4300"/>
            <w:shd w:fill="EAF2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Registro y login con roles (RF-01, RF-02).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3.2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Catálogo y ficha de producto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Grilla, filtros, búsqueda, ficha y variantes (RF-03, RF-04).</w:t>
            </w:r>
          </w:p>
        </w:tc>
      </w:tr>
      <w:tr>
        <w:trPr>
          <w:cantSplit/>
        </w:trPr>
        <w:tc>
          <w:tcPr>
            <w:tcW w:type="dxa" w:w="900"/>
            <w:shd w:fill="EAF2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3.3</w:t>
            </w:r>
          </w:p>
        </w:tc>
        <w:tc>
          <w:tcPr>
            <w:tcW w:type="dxa" w:w="2900"/>
            <w:shd w:fill="EAF2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Carrito y checkout por zona</w:t>
            </w:r>
          </w:p>
        </w:tc>
        <w:tc>
          <w:tcPr>
            <w:tcW w:type="dxa" w:w="4300"/>
            <w:shd w:fill="EAF2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Carrito, envío gratis, checkout con validación de zona (RF-05, RF-06).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3.4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Pagos en línea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Integración Mercado Pago (RF-07).</w:t>
            </w:r>
          </w:p>
        </w:tc>
      </w:tr>
      <w:tr>
        <w:trPr>
          <w:cantSplit/>
        </w:trPr>
        <w:tc>
          <w:tcPr>
            <w:tcW w:type="dxa" w:w="900"/>
            <w:shd w:fill="EAF2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3.5</w:t>
            </w:r>
          </w:p>
        </w:tc>
        <w:tc>
          <w:tcPr>
            <w:tcW w:type="dxa" w:w="2900"/>
            <w:shd w:fill="EAF2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Facturación electrónica</w:t>
            </w:r>
          </w:p>
        </w:tc>
        <w:tc>
          <w:tcPr>
            <w:tcW w:type="dxa" w:w="4300"/>
            <w:shd w:fill="EAF2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Emisión automática de boleta/factura vía OpenFactura (RF-08).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3.6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Pedidos, notificaciones e historial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Notificaciones de estado e historial de pedidos del cliente (RF-09, RF-10).</w:t>
            </w:r>
          </w:p>
        </w:tc>
      </w:tr>
      <w:tr>
        <w:trPr>
          <w:cantSplit/>
        </w:trPr>
        <w:tc>
          <w:tcPr>
            <w:tcW w:type="dxa" w:w="900"/>
            <w:shd w:fill="EAF2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3.7</w:t>
            </w:r>
          </w:p>
        </w:tc>
        <w:tc>
          <w:tcPr>
            <w:tcW w:type="dxa" w:w="2900"/>
            <w:shd w:fill="EAF2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Fidelización por puntos</w:t>
            </w:r>
          </w:p>
        </w:tc>
        <w:tc>
          <w:tcPr>
            <w:tcW w:type="dxa" w:w="4300"/>
            <w:shd w:fill="EAF2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Acumulación y canje de puntos y metas (RF-11).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3.8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Contenido institucional y contacto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Páginas institucionales, contacto y suscripción (RF-12, RF-13, RF-14).</w:t>
            </w:r>
          </w:p>
        </w:tc>
      </w:tr>
      <w:tr>
        <w:trPr>
          <w:cantSplit/>
        </w:trPr>
        <w:tc>
          <w:tcPr>
            <w:tcW w:type="dxa" w:w="900"/>
            <w:shd w:fill="EAF2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2900"/>
            <w:shd w:fill="EAF2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Módulo Administrador (Panel de gestión) (componente)</w:t>
            </w:r>
          </w:p>
        </w:tc>
        <w:tc>
          <w:tcPr>
            <w:tcW w:type="dxa" w:w="4300"/>
            <w:shd w:fill="EAF2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Panel de administración del negocio (RF-15 a RF-25).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4.1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Dashboard y métricas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Panel de inicio con métricas por período (RF-15).</w:t>
            </w:r>
          </w:p>
        </w:tc>
      </w:tr>
      <w:tr>
        <w:trPr>
          <w:cantSplit/>
        </w:trPr>
        <w:tc>
          <w:tcPr>
            <w:tcW w:type="dxa" w:w="900"/>
            <w:shd w:fill="EAF2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4.2</w:t>
            </w:r>
          </w:p>
        </w:tc>
        <w:tc>
          <w:tcPr>
            <w:tcW w:type="dxa" w:w="2900"/>
            <w:shd w:fill="EAF2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Gestión de pedidos</w:t>
            </w:r>
          </w:p>
        </w:tc>
        <w:tc>
          <w:tcPr>
            <w:tcW w:type="dxa" w:w="4300"/>
            <w:shd w:fill="EAF2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Ciclo de vida, estados, notas, cronología, reembolsos (RF-16).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4.3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Catálogo e inventario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Gestión de productos, variantes e inventario (RF-17, RF-18).</w:t>
            </w:r>
          </w:p>
        </w:tc>
      </w:tr>
      <w:tr>
        <w:trPr>
          <w:cantSplit/>
        </w:trPr>
        <w:tc>
          <w:tcPr>
            <w:tcW w:type="dxa" w:w="900"/>
            <w:shd w:fill="EAF2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4.4</w:t>
            </w:r>
          </w:p>
        </w:tc>
        <w:tc>
          <w:tcPr>
            <w:tcW w:type="dxa" w:w="2900"/>
            <w:shd w:fill="EAF2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Clientes y descuentos</w:t>
            </w:r>
          </w:p>
        </w:tc>
        <w:tc>
          <w:tcPr>
            <w:tcW w:type="dxa" w:w="4300"/>
            <w:shd w:fill="EAF2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Gestión de clientes/segmentos y cupones/descuentos (RF-19, RF-20).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4.5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Configuración (zonas, pagos, CMS)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Zonas y tarifas, medios de pago y contenido/políticas (RF-21, RF-22, RF-23).</w:t>
            </w:r>
          </w:p>
        </w:tc>
      </w:tr>
      <w:tr>
        <w:trPr>
          <w:cantSplit/>
        </w:trPr>
        <w:tc>
          <w:tcPr>
            <w:tcW w:type="dxa" w:w="900"/>
            <w:shd w:fill="EAF2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4.6</w:t>
            </w:r>
          </w:p>
        </w:tc>
        <w:tc>
          <w:tcPr>
            <w:tcW w:type="dxa" w:w="2900"/>
            <w:shd w:fill="EAF2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Informes y datos</w:t>
            </w:r>
          </w:p>
        </w:tc>
        <w:tc>
          <w:tcPr>
            <w:tcW w:type="dxa" w:w="4300"/>
            <w:shd w:fill="EAF2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Reportes de venta/inventario e importación/exportación CSV (RF-24, RF-25).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Requisitos No Funcionales y Seguridad (componente)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Atributos transversales de calidad de la plataforma (RNF-01 a RNF-14).</w:t>
            </w:r>
          </w:p>
        </w:tc>
      </w:tr>
      <w:tr>
        <w:trPr>
          <w:cantSplit/>
        </w:trPr>
        <w:tc>
          <w:tcPr>
            <w:tcW w:type="dxa" w:w="900"/>
            <w:shd w:fill="EAF2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5.1</w:t>
            </w:r>
          </w:p>
        </w:tc>
        <w:tc>
          <w:tcPr>
            <w:tcW w:type="dxa" w:w="2900"/>
            <w:shd w:fill="EAF2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Seguridad y datos personales</w:t>
            </w:r>
          </w:p>
        </w:tc>
        <w:tc>
          <w:tcPr>
            <w:tcW w:type="dxa" w:w="4300"/>
            <w:shd w:fill="EAF2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RLS, HTTPS, cifrado de contraseñas, Ley 21.719 (RNF-04, RNF-05).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5.2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Rendimiento, disponibilidad y escalabilidad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≥100 pedidos/hora, ≤5 s, disponibilidad en horario de operación, 500 usuarios concurrentes (RNF-03, RNF-06, RNF-07).</w:t>
            </w:r>
          </w:p>
        </w:tc>
      </w:tr>
      <w:tr>
        <w:trPr>
          <w:cantSplit/>
        </w:trPr>
        <w:tc>
          <w:tcPr>
            <w:tcW w:type="dxa" w:w="900"/>
            <w:shd w:fill="EAF2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5.3</w:t>
            </w:r>
          </w:p>
        </w:tc>
        <w:tc>
          <w:tcPr>
            <w:tcW w:type="dxa" w:w="2900"/>
            <w:shd w:fill="EAF2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Usabilidad, accesibilidad, SEO y localización</w:t>
            </w:r>
          </w:p>
        </w:tc>
        <w:tc>
          <w:tcPr>
            <w:tcW w:type="dxa" w:w="4300"/>
            <w:shd w:fill="EAF2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Mobile-first, WCAG 2.1 AA, SEO, es-CL/CLP (RNF-01, RNF-02, RNF-12, RNF-13, RNF-14).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5.4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Trazabilidad, respaldo y mantenibilidad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Auditoría de pedidos, backups, actualizaciones sin downtime (RNF-09, RNF-10, RNF-11).</w:t>
            </w:r>
          </w:p>
        </w:tc>
      </w:tr>
      <w:tr>
        <w:trPr>
          <w:cantSplit/>
        </w:trPr>
        <w:tc>
          <w:tcPr>
            <w:tcW w:type="dxa" w:w="900"/>
            <w:shd w:fill="EAF2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2900"/>
            <w:shd w:fill="EAF2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Calidad y Pruebas (componente)</w:t>
            </w:r>
          </w:p>
        </w:tc>
        <w:tc>
          <w:tcPr>
            <w:tcW w:type="dxa" w:w="4300"/>
            <w:shd w:fill="EAF2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Aseguramiento y control de calidad del producto.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6.1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Plan de pruebas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Diseño de casos de prueba de flujos críticos.</w:t>
            </w:r>
          </w:p>
        </w:tc>
      </w:tr>
      <w:tr>
        <w:trPr>
          <w:cantSplit/>
        </w:trPr>
        <w:tc>
          <w:tcPr>
            <w:tcW w:type="dxa" w:w="900"/>
            <w:shd w:fill="EAF2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6.2</w:t>
            </w:r>
          </w:p>
        </w:tc>
        <w:tc>
          <w:tcPr>
            <w:tcW w:type="dxa" w:w="2900"/>
            <w:shd w:fill="EAF2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Pruebas unitarias e integración</w:t>
            </w:r>
          </w:p>
        </w:tc>
        <w:tc>
          <w:tcPr>
            <w:tcW w:type="dxa" w:w="4300"/>
            <w:shd w:fill="EAF2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Lógica de negocio y flujo carrito→pago→facturación.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6.3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Pruebas de seguridad y rendimiento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RLS, sandbox Mercado Pago/OpenFactura, carga.</w:t>
            </w:r>
          </w:p>
        </w:tc>
      </w:tr>
      <w:tr>
        <w:trPr>
          <w:cantSplit/>
        </w:trPr>
        <w:tc>
          <w:tcPr>
            <w:tcW w:type="dxa" w:w="900"/>
            <w:shd w:fill="EAF2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6.4</w:t>
            </w:r>
          </w:p>
        </w:tc>
        <w:tc>
          <w:tcPr>
            <w:tcW w:type="dxa" w:w="2900"/>
            <w:shd w:fill="EAF2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Pruebas de aceptación de usuario (UAT)</w:t>
            </w:r>
          </w:p>
        </w:tc>
        <w:tc>
          <w:tcPr>
            <w:tcW w:type="dxa" w:w="4300"/>
            <w:shd w:fill="EAF2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Validación de flujo operativo por Iván Rodríguez.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Despliegue y Puesta en Marcha (componente)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Contenerización, migración y Go-Live.</w:t>
            </w:r>
          </w:p>
        </w:tc>
      </w:tr>
      <w:tr>
        <w:trPr>
          <w:cantSplit/>
        </w:trPr>
        <w:tc>
          <w:tcPr>
            <w:tcW w:type="dxa" w:w="900"/>
            <w:shd w:fill="EAF2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7.1</w:t>
            </w:r>
          </w:p>
        </w:tc>
        <w:tc>
          <w:tcPr>
            <w:tcW w:type="dxa" w:w="2900"/>
            <w:shd w:fill="EAF2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Contenerización (Docker)</w:t>
            </w:r>
          </w:p>
        </w:tc>
        <w:tc>
          <w:tcPr>
            <w:tcW w:type="dxa" w:w="4300"/>
            <w:shd w:fill="EAF2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Empaquetado y configuración de ambientes.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7.2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Migración de datos desde Shopify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Catálogo, clientes y pedidos vía CSV (RF-25).</w:t>
            </w:r>
          </w:p>
        </w:tc>
      </w:tr>
      <w:tr>
        <w:trPr>
          <w:cantSplit/>
        </w:trPr>
        <w:tc>
          <w:tcPr>
            <w:tcW w:type="dxa" w:w="900"/>
            <w:shd w:fill="EAF2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7.3</w:t>
            </w:r>
          </w:p>
        </w:tc>
        <w:tc>
          <w:tcPr>
            <w:tcW w:type="dxa" w:w="2900"/>
            <w:shd w:fill="EAF2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Go-Live</w:t>
            </w:r>
          </w:p>
        </w:tc>
        <w:tc>
          <w:tcPr>
            <w:tcW w:type="dxa" w:w="4300"/>
            <w:shd w:fill="EAF2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Puesta en producción y baja de la suscripción Shopify.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Documentación, Capacitación y Cierre académico (componente)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Entregables finales del Proyecto APT.</w:t>
            </w:r>
          </w:p>
        </w:tc>
      </w:tr>
      <w:tr>
        <w:trPr>
          <w:cantSplit/>
        </w:trPr>
        <w:tc>
          <w:tcPr>
            <w:tcW w:type="dxa" w:w="900"/>
            <w:shd w:fill="EAF2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8.1</w:t>
            </w:r>
          </w:p>
        </w:tc>
        <w:tc>
          <w:tcPr>
            <w:tcW w:type="dxa" w:w="2900"/>
            <w:shd w:fill="EAF2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Manual técnico</w:t>
            </w:r>
          </w:p>
        </w:tc>
        <w:tc>
          <w:tcPr>
            <w:tcW w:type="dxa" w:w="4300"/>
            <w:shd w:fill="EAF2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Documentación técnica de la plataforma.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8.2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Manual de usuario y videos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Manual de usuario y videos tutoriales cortos (si el tiempo lo permite).</w:t>
            </w:r>
          </w:p>
        </w:tc>
      </w:tr>
      <w:tr>
        <w:trPr>
          <w:cantSplit/>
        </w:trPr>
        <w:tc>
          <w:tcPr>
            <w:tcW w:type="dxa" w:w="900"/>
            <w:shd w:fill="EAF2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8.3</w:t>
            </w:r>
          </w:p>
        </w:tc>
        <w:tc>
          <w:tcPr>
            <w:tcW w:type="dxa" w:w="2900"/>
            <w:shd w:fill="EAF2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Capacitación</w:t>
            </w:r>
          </w:p>
        </w:tc>
        <w:tc>
          <w:tcPr>
            <w:tcW w:type="dxa" w:w="4300"/>
            <w:shd w:fill="EAF2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Capacitación a Iván Rodríguez y personal de reparto/logística.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8.4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Informe final y defensa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Informe final, presentación y defensa ante la comisión evaluadora.</w:t>
            </w:r>
          </w:p>
        </w:tc>
      </w:tr>
    </w:tbl>
    <w:p>
      <w:pPr>
        <w:pBdr>
          <w:left w:val="single" w:color="D9A441" w:sz="12" w:space="6"/>
        </w:pBdr>
        <w:shd w:fill="FFF6E5" w:val="clear"/>
        <w:spacing w:after="200" w:before="120"/>
        <w:ind w:left="100"/>
      </w:pPr>
      <w:r>
        <w:rPr>
          <w:b/>
          <w:bCs/>
          <w:i/>
          <w:iCs/>
          <w:sz w:val="20"/>
          <w:szCs w:val="20"/>
        </w:rPr>
        <w:t xml:space="preserve">Nota: </w:t>
      </w:r>
      <w:r>
        <w:rPr>
          <w:i/>
          <w:iCs/>
          <w:sz w:val="20"/>
          <w:szCs w:val="20"/>
        </w:rPr>
        <w:t xml:space="preserve">El desglose de tercer nivel (historias de usuario y tareas) se mantiene como anexo vivo en GitHub Projects (tablero Kanban del Grupo N3), vinculado a cada requerimiento funcional. La codificación EDT de este diccionario es la referencia usada por la Matriz de Adquisiciones, el Presupuesto y la asignación de recursos.</w:t>
      </w:r>
    </w:p>
    <w:sectPr>
      <w:headerReference w:type="default" r:id="rId7"/>
      <w:footerReference w:type="default" r:id="rId8"/>
      <w:pgSz w:w="11906" w:h="16838" w:orient="portrait"/>
      <w:pgMar w:top="1296" w:right="1440" w:bottom="1296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9D9" w:sz="4" w:space="4"/>
      </w:pBdr>
      <w:tabs>
        <w:tab w:val="right" w:pos="9026"/>
      </w:tabs>
    </w:pPr>
    <w:r>
      <w:rPr>
        <w:color w:val="595959"/>
        <w:sz w:val="16"/>
        <w:szCs w:val="16"/>
      </w:rPr>
      <w:t xml:space="preserve">Befine Store — Anexo A — EDT y Diccionario</w:t>
    </w:r>
    <w:r>
      <w:rPr>
        <w:sz w:val="16"/>
        <w:szCs w:val="16"/>
      </w:rPr>
      <w:t xml:space="preserve">	</w:t>
    </w:r>
    <w:r>
      <w:rPr>
        <w:color w:val="595959"/>
        <w:sz w:val="16"/>
        <w:szCs w:val="16"/>
      </w:rPr>
      <w:t xml:space="preserve">Página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de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4" w:space="4"/>
      </w:pBdr>
      <w:jc w:val="right"/>
    </w:pPr>
    <w:r>
      <w:rPr>
        <w:i/>
        <w:iCs/>
        <w:color w:val="595959"/>
        <w:sz w:val="16"/>
        <w:szCs w:val="16"/>
      </w:rPr>
      <w:t xml:space="preserve">Befine Store · Anexo A — EDT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</w:lvl>
    <w:lvl w:ilvl="1" w15:tentative="1">
      <w:start w:val="1"/>
      <w:numFmt w:val="bullet"/>
      <w:lvlText w:val="–"/>
      <w:lvlJc w:val="left"/>
      <w:pPr>
        <w:ind w:left="792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3" w:hanging="316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5F" w:sz="6" w:space="4"/>
      </w:pBdr>
      <w:spacing w:after="180" w:before="360"/>
    </w:pPr>
    <w:rPr>
      <w:rFonts w:ascii="Calibri" w:cs="Calibri" w:eastAsia="Calibri" w:hAnsi="Calibri"/>
      <w:b/>
      <w:bCs/>
      <w:color w:val="1F4E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60"/>
    </w:pPr>
    <w:rPr>
      <w:rFonts w:ascii="Calibri" w:cs="Calibri" w:eastAsia="Calibri" w:hAnsi="Calibri"/>
      <w:b/>
      <w:bCs/>
      <w:color w:val="2E86AB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90" w:before="200"/>
    </w:pPr>
    <w:rPr>
      <w:rFonts w:ascii="Calibri" w:cs="Calibri" w:eastAsia="Calibri" w:hAnsi="Calibri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Anexo A — EDT y Diccionario — Befine Store</dc:title>
  <dc:creator>Grupo N3 — Plaxi Solutions</dc:creator>
  <dc:description>Proyecto de Título PTY4614 — Duoc UC</dc:description>
  <cp:lastModifiedBy>Un-named</cp:lastModifiedBy>
  <cp:revision>1</cp:revision>
  <dcterms:created xsi:type="dcterms:W3CDTF">2026-09-10T07:51:32.280Z</dcterms:created>
  <dcterms:modified xsi:type="dcterms:W3CDTF">2026-09-10T07:51:32.281Z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