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i/>
          <w:iCs/>
          <w:color w:val="5A6B70"/>
          <w:sz w:val="20"/>
          <w:szCs w:val="20"/>
        </w:rPr>
        <w:t xml:space="preserve">Befine Store · Solicitud de Control de Cambios</w:t>
      </w:r>
    </w:p>
    <w:p>
      <w:pPr>
        <w:spacing w:after="20"/>
      </w:pPr>
      <w:r>
        <w:rPr>
          <w:rFonts w:ascii="Calibri" w:cs="Calibri" w:eastAsia="Calibri" w:hAnsi="Calibri"/>
          <w:color w:val="5A6B70"/>
          <w:sz w:val="20"/>
          <w:szCs w:val="20"/>
        </w:rPr>
        <w:t xml:space="preserve">Plaxi Solutions · Plan de Dirección del Proyecto — Befine Store</w:t>
      </w:r>
    </w:p>
    <w:p>
      <w:pPr>
        <w:spacing w:after="10" w:before="60"/>
      </w:pPr>
      <w:r>
        <w:rPr>
          <w:rFonts w:ascii="Calibri" w:cs="Calibri" w:eastAsia="Calibri" w:hAnsi="Calibri"/>
          <w:b/>
          <w:bCs/>
          <w:color w:val="0E4A5A"/>
          <w:sz w:val="40"/>
          <w:szCs w:val="40"/>
        </w:rPr>
        <w:t xml:space="preserve">Solicitud de Cambio SC-04</w:t>
      </w:r>
    </w:p>
    <w:p>
      <w:pPr>
        <w:spacing w:after="40"/>
      </w:pPr>
      <w:r>
        <w:rPr>
          <w:rFonts w:ascii="Calibri" w:cs="Calibri" w:eastAsia="Calibri" w:hAnsi="Calibri"/>
          <w:color w:val="1A1A1A"/>
          <w:sz w:val="24"/>
          <w:szCs w:val="24"/>
        </w:rPr>
        <w:t xml:space="preserve">Uso del plan gratuito de Supabase por decisión del cliente</w:t>
      </w:r>
    </w:p>
    <w:p>
      <w:pPr>
        <w:spacing w:after="160"/>
      </w:pPr>
      <w:r>
        <w:rPr>
          <w:rFonts w:ascii="Calibri" w:cs="Calibri" w:eastAsia="Calibri" w:hAnsi="Calibri"/>
          <w:i/>
          <w:iCs/>
          <w:color w:val="5A6B70"/>
          <w:sz w:val="19"/>
          <w:szCs w:val="19"/>
        </w:rPr>
        <w:t xml:space="preserve">Documento anexo del PLAN 11 (Plan de Gestión de Cambios) — Versión 1.0 · 9 de octubre de 2026</w:t>
      </w:r>
    </w:p>
    <w:p>
      <w:pPr>
        <w:pStyle w:val="Heading2"/>
        <w:spacing w:after="90" w:before="200"/>
      </w:pPr>
      <w:r>
        <w:rPr>
          <w:rFonts w:ascii="Calibri" w:cs="Calibri" w:eastAsia="Calibri" w:hAnsi="Calibri"/>
          <w:b/>
          <w:bCs/>
          <w:color w:val="0E4A5A"/>
          <w:sz w:val="24"/>
          <w:szCs w:val="24"/>
        </w:rPr>
        <w:t xml:space="preserve">Información del proyecto</w:t>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3000"/>
        <w:gridCol w:w="6360"/>
      </w:tblGrid>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Empresa / Organización</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Agua Purificada Befine</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Proyecto</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Befine Store — Plataforma de comercio electrónico propia para Agua Purificada Befine</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Empresa ejecutora</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Plaxi Solutions (Grupo N3)</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Cliente</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Agua Purificada Befine (representado por Iván Rodríguez)</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Patrocinador principal</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Iván Rodríguez (Dueño y Gerente General de Befine)</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Gerente de proyecto</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Grupo N3 — liderazgo rotativo por sprint</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Fecha de la solicitud</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9 de octubre de 2026</w:t>
            </w:r>
          </w:p>
        </w:tc>
      </w:tr>
    </w:tbl>
    <w:p>
      <w:pPr>
        <w:pStyle w:val="Heading2"/>
        <w:spacing w:after="90" w:before="200"/>
      </w:pPr>
      <w:r>
        <w:rPr>
          <w:rFonts w:ascii="Calibri" w:cs="Calibri" w:eastAsia="Calibri" w:hAnsi="Calibri"/>
          <w:b/>
          <w:bCs/>
          <w:color w:val="0E4A5A"/>
          <w:sz w:val="24"/>
          <w:szCs w:val="24"/>
        </w:rPr>
        <w:t xml:space="preserve">Historial de versiones</w:t>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1400"/>
        <w:gridCol w:w="1900"/>
        <w:gridCol w:w="3060"/>
        <w:gridCol w:w="3000"/>
      </w:tblGrid>
      <w:tr>
        <w:trPr>
          <w:tblHeader/>
        </w:trPr>
        <w:tc>
          <w:tcPr>
            <w:tcW w:type="dxa" w:w="14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Versión</w:t>
            </w:r>
          </w:p>
        </w:tc>
        <w:tc>
          <w:tcPr>
            <w:tcW w:type="dxa" w:w="19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Fecha</w:t>
            </w:r>
          </w:p>
        </w:tc>
        <w:tc>
          <w:tcPr>
            <w:tcW w:type="dxa" w:w="306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Autor</w:t>
            </w:r>
          </w:p>
        </w:tc>
        <w:tc>
          <w:tcPr>
            <w:tcW w:type="dxa" w:w="30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Descripción</w:t>
            </w:r>
          </w:p>
        </w:tc>
      </w:tr>
      <w:tr>
        <w:tc>
          <w:tcPr>
            <w:tcW w:type="dxa" w:w="140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1.0</w:t>
            </w:r>
          </w:p>
        </w:tc>
        <w:tc>
          <w:tcPr>
            <w:tcW w:type="dxa" w:w="190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09-10-2026</w:t>
            </w:r>
          </w:p>
        </w:tc>
        <w:tc>
          <w:tcPr>
            <w:tcW w:type="dxa" w:w="30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Grupo N3 (Plaxi Solutions)</w:t>
            </w:r>
          </w:p>
        </w:tc>
        <w:tc>
          <w:tcPr>
            <w:tcW w:type="dxa" w:w="300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Emisión inicial para evaluación del Comité de Control de Cambios</w:t>
            </w:r>
          </w:p>
        </w:tc>
      </w:tr>
    </w:tbl>
    <w:p>
      <w:pPr>
        <w:pStyle w:val="Heading1"/>
        <w:spacing w:after="120" w:before="260"/>
      </w:pPr>
      <w:r>
        <w:rPr>
          <w:rFonts w:ascii="Calibri" w:cs="Calibri" w:eastAsia="Calibri" w:hAnsi="Calibri"/>
          <w:b/>
          <w:bCs/>
          <w:color w:val="0E4A5A"/>
          <w:sz w:val="30"/>
          <w:szCs w:val="30"/>
        </w:rPr>
        <w:t xml:space="preserve">1. Datos de la solicitud</w:t>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3000"/>
        <w:gridCol w:w="6360"/>
      </w:tblGrid>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N° de solicitud</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SC-04</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Solicitante</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Iván Rodríguez — Patrocinador y dueño de Agua Purificada Befine (cliente)</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Área afectada</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Gestión del proyecto — Costos y Adquisiciones; Calidad (RNF-06 Disponibilidad)</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Patrocinador</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Iván Rodríguez</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Gerente de proyecto</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Grupo N3 (liderazgo rotativo)</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Categoría del cambio</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Decisión del cliente sobre costos de infraestructura</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Prioridad</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Alta</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Afecta líneas base</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Costo (baja la línea base) y Calidad (redefine RNF-06). Alcance y Cronograma: sin impacto.</w:t>
            </w:r>
          </w:p>
        </w:tc>
      </w:tr>
      <w:tr>
        <w:tc>
          <w:tcPr>
            <w:tcW w:type="dxa" w:w="30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Estado de implementación</w:t>
            </w:r>
          </w:p>
        </w:tc>
        <w:tc>
          <w:tcPr>
            <w:tcW w:type="dxa" w:w="63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Aprobado el 09-10-2026. Se aplica de inmediato: el proyecto ya opera sobre el plan gratuito de Supabase.</w:t>
            </w:r>
          </w:p>
        </w:tc>
      </w:tr>
    </w:tbl>
    <w:p>
      <w:pPr>
        <w:pStyle w:val="Heading1"/>
        <w:spacing w:after="120" w:before="260"/>
      </w:pPr>
      <w:r>
        <w:rPr>
          <w:rFonts w:ascii="Calibri" w:cs="Calibri" w:eastAsia="Calibri" w:hAnsi="Calibri"/>
          <w:b/>
          <w:bCs/>
          <w:color w:val="0E4A5A"/>
          <w:sz w:val="30"/>
          <w:szCs w:val="30"/>
        </w:rPr>
        <w:t xml:space="preserve">2. Causa / origen del cambio</w:t>
      </w:r>
    </w:p>
    <w:p>
      <w:pPr>
        <w:spacing w:after="120" w:line="264"/>
      </w:pPr>
      <w:r>
        <w:rPr>
          <w:rFonts w:ascii="Calibri" w:cs="Calibri" w:eastAsia="Calibri" w:hAnsi="Calibri"/>
          <w:sz w:val="21"/>
          <w:szCs w:val="21"/>
        </w:rPr>
        <w:t xml:space="preserve">El cliente (Agua Purificada Befine), representado por su dueño y patrocinador del proyecto, revisó el presupuesto anual de infraestructura aprobado en la SC-01 y decidió no contratar el plan Pro de Supabase, por las siguientes razones:</w:t>
      </w:r>
    </w:p>
    <w:p>
      <w:pPr>
        <w:pStyle w:val="ListParagraph"/>
        <w:numPr>
          <w:ilvl w:val="0"/>
          <w:numId w:val="2"/>
        </w:numPr>
        <w:spacing w:after="70" w:line="260"/>
      </w:pPr>
      <w:r>
        <w:rPr>
          <w:rFonts w:ascii="Calibri" w:cs="Calibri" w:eastAsia="Calibri" w:hAnsi="Calibri"/>
          <w:sz w:val="21"/>
          <w:szCs w:val="21"/>
        </w:rPr>
        <w:t xml:space="preserve">Volumen acotado del negocio: ≈ 1.000 pedidos al mes y ≈ 450 clientes activos caben holgadamente en los límites del plan gratuito (500 MB de base de datos, 50.000 usuarios activos mensuales en Auth).</w:t>
      </w:r>
    </w:p>
    <w:p>
      <w:pPr>
        <w:pStyle w:val="ListParagraph"/>
        <w:numPr>
          <w:ilvl w:val="0"/>
          <w:numId w:val="2"/>
        </w:numPr>
        <w:spacing w:after="70" w:line="260"/>
      </w:pPr>
      <w:r>
        <w:rPr>
          <w:rFonts w:ascii="Calibri" w:cs="Calibri" w:eastAsia="Calibri" w:hAnsi="Calibri"/>
          <w:sz w:val="21"/>
          <w:szCs w:val="21"/>
        </w:rPr>
        <w:t xml:space="preserve">Costo recurrente en dólares: el plan Pro (US$25 al mes) era el único servicio cotizado en moneda extranjera, expuesto a la variación del tipo de cambio.</w:t>
      </w:r>
    </w:p>
    <w:p>
      <w:pPr>
        <w:pStyle w:val="ListParagraph"/>
        <w:numPr>
          <w:ilvl w:val="0"/>
          <w:numId w:val="2"/>
        </w:numPr>
        <w:spacing w:after="70" w:line="260"/>
      </w:pPr>
      <w:r>
        <w:rPr>
          <w:rFonts w:ascii="Calibri" w:cs="Calibri" w:eastAsia="Calibri" w:hAnsi="Calibri"/>
          <w:sz w:val="21"/>
          <w:szCs w:val="21"/>
        </w:rPr>
        <w:t xml:space="preserve">Prioridad del gasto: el cliente prefiere concentrar el presupuesto en los servicios obligatorios por normativa (OpenFactura y certificado digital del SII) y pasar a Pro solo cuando el crecimiento lo justifique.</w:t>
      </w:r>
    </w:p>
    <w:p>
      <w:pPr>
        <w:pStyle w:val="Heading1"/>
        <w:spacing w:after="120" w:before="260"/>
      </w:pPr>
      <w:r>
        <w:rPr>
          <w:rFonts w:ascii="Calibri" w:cs="Calibri" w:eastAsia="Calibri" w:hAnsi="Calibri"/>
          <w:b/>
          <w:bCs/>
          <w:color w:val="0E4A5A"/>
          <w:sz w:val="30"/>
          <w:szCs w:val="30"/>
        </w:rPr>
        <w:t xml:space="preserve">3. Descripción del cambio</w:t>
      </w:r>
    </w:p>
    <w:p>
      <w:pPr>
        <w:spacing w:after="120" w:line="264"/>
      </w:pPr>
      <w:r>
        <w:rPr>
          <w:rFonts w:ascii="Calibri" w:cs="Calibri" w:eastAsia="Calibri" w:hAnsi="Calibri"/>
          <w:sz w:val="21"/>
          <w:szCs w:val="21"/>
        </w:rPr>
        <w:t xml:space="preserve">Mantener Supabase (PostgreSQL, Auth, RLS y Edge Functions) como backend, pero en su plan gratuito en lugar del plan Pro. En consecuencia, se retira el costo de Supabase Pro ($274.200 CLP anuales) de la línea base de costo, y el requisito no funcional RNF-06 (Disponibilidad) se redefine sin un porcentaje comprometido, ya que el plan gratuito no ofrece un acuerdo de nivel de servicio.</w:t>
      </w:r>
      <w:r>
        <w:rPr>
          <w:rFonts w:ascii="Calibri" w:cs="Calibri" w:eastAsia="Calibri" w:hAnsi="Calibri"/>
          <w:b/>
          <w:bCs/>
          <w:sz w:val="21"/>
          <w:szCs w:val="21"/>
        </w:rPr>
        <w:t xml:space="preserve"/>
      </w:r>
      <w:r>
        <w:rPr>
          <w:rFonts w:ascii="Calibri" w:cs="Calibri" w:eastAsia="Calibri" w:hAnsi="Calibri"/>
          <w:sz w:val="21"/>
          <w:szCs w:val="21"/>
        </w:rPr>
        <w:t xml:space="preserve"/>
      </w:r>
      <w:r>
        <w:rPr>
          <w:rFonts w:ascii="Calibri" w:cs="Calibri" w:eastAsia="Calibri" w:hAnsi="Calibri"/>
          <w:b/>
          <w:bCs/>
          <w:sz w:val="21"/>
          <w:szCs w:val="21"/>
        </w:rPr>
        <w:t xml:space="preserve"/>
      </w:r>
      <w:r>
        <w:rPr>
          <w:rFonts w:ascii="Calibri" w:cs="Calibri" w:eastAsia="Calibri" w:hAnsi="Calibri"/>
          <w:sz w:val="21"/>
          <w:szCs w:val="21"/>
        </w:rPr>
        <w:t xml:space="preserve"/>
      </w:r>
      <w:r>
        <w:rPr>
          <w:rFonts w:ascii="Calibri" w:cs="Calibri" w:eastAsia="Calibri" w:hAnsi="Calibri"/>
          <w:b/>
          <w:bCs/>
          <w:sz w:val="21"/>
          <w:szCs w:val="21"/>
        </w:rPr>
        <w:t xml:space="preserve"/>
      </w:r>
      <w:r>
        <w:rPr>
          <w:rFonts w:ascii="Calibri" w:cs="Calibri" w:eastAsia="Calibri" w:hAnsi="Calibri"/>
          <w:sz w:val="21"/>
          <w:szCs w:val="21"/>
        </w:rPr>
        <w:t xml:space="preserve"/>
      </w:r>
    </w:p>
    <w:p>
      <w:pPr>
        <w:spacing w:after="120" w:line="264"/>
      </w:pPr>
      <w:r>
        <w:rPr>
          <w:rFonts w:ascii="Calibri" w:cs="Calibri" w:eastAsia="Calibri" w:hAnsi="Calibri"/>
          <w:sz w:val="21"/>
          <w:szCs w:val="21"/>
        </w:rPr>
        <w:t xml:space="preserve">RNF-06 queda así: «El sistema debe estar disponible durante el horario de operación de Befine según el nivel de servicio del plan gratuito del proveedor, con monitoreo de actividad para evitar la pausa del proyecto y aviso oportuno de caídas». OpenFactura y el certificado digital se mantienen, porque son obligatorios para emitir DTE (RF-08).</w:t>
      </w:r>
      <w:r>
        <w:rPr>
          <w:rFonts w:ascii="Calibri" w:cs="Calibri" w:eastAsia="Calibri" w:hAnsi="Calibri"/>
          <w:b/>
          <w:bCs/>
          <w:sz w:val="21"/>
          <w:szCs w:val="21"/>
        </w:rPr>
        <w:t xml:space="preserve"/>
      </w:r>
      <w:r>
        <w:rPr>
          <w:rFonts w:ascii="Calibri" w:cs="Calibri" w:eastAsia="Calibri" w:hAnsi="Calibri"/>
          <w:sz w:val="21"/>
          <w:szCs w:val="21"/>
        </w:rPr>
        <w:t xml:space="preserve"/>
      </w:r>
      <w:r>
        <w:rPr>
          <w:rFonts w:ascii="Calibri" w:cs="Calibri" w:eastAsia="Calibri" w:hAnsi="Calibri"/>
          <w:b/>
          <w:bCs/>
          <w:sz w:val="21"/>
          <w:szCs w:val="21"/>
        </w:rPr>
        <w:t xml:space="preserve"/>
      </w:r>
      <w:r>
        <w:rPr>
          <w:rFonts w:ascii="Calibri" w:cs="Calibri" w:eastAsia="Calibri" w:hAnsi="Calibri"/>
          <w:sz w:val="21"/>
          <w:szCs w:val="21"/>
        </w:rPr>
        <w:t xml:space="preserve"/>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2300"/>
        <w:gridCol w:w="3530"/>
        <w:gridCol w:w="3530"/>
      </w:tblGrid>
      <w:tr>
        <w:trPr>
          <w:tblHeader/>
        </w:trPr>
        <w:tc>
          <w:tcPr>
            <w:tcW w:type="dxa" w:w="23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Componente</w:t>
            </w:r>
          </w:p>
        </w:tc>
        <w:tc>
          <w:tcPr>
            <w:tcW w:type="dxa" w:w="353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Antes (línea base)</w:t>
            </w:r>
          </w:p>
        </w:tc>
        <w:tc>
          <w:tcPr>
            <w:tcW w:type="dxa" w:w="353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Después (con el cambio)</w:t>
            </w:r>
          </w:p>
        </w:tc>
      </w:tr>
      <w:tr>
        <w:tc>
          <w:tcPr>
            <w:tcW w:type="dxa" w:w="2300"/>
            <w:tcMar>
              <w:top w:type="dxa" w:w="70"/>
              <w:left w:type="dxa" w:w="110"/>
              <w:bottom w:type="dxa" w:w="70"/>
              <w:right w:type="dxa" w:w="110"/>
            </w:tcMar>
          </w:tcPr>
          <w:p>
            <w:pPr>
              <w:spacing w:after="0" w:line="252"/>
            </w:pPr>
            <w:r>
              <w:rPr>
                <w:rFonts w:ascii="Calibri" w:cs="Calibri" w:eastAsia="Calibri" w:hAnsi="Calibri"/>
                <w:b/>
                <w:bCs/>
                <w:color w:val="1A1A1A"/>
                <w:sz w:val="20"/>
                <w:szCs w:val="20"/>
              </w:rPr>
              <w:t xml:space="preserve">Plan de Supabase</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Plan Pro (US$25/mes)</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Plan gratuito (sin costo)</w:t>
            </w:r>
          </w:p>
        </w:tc>
      </w:tr>
      <w:tr>
        <w:tc>
          <w:tcPr>
            <w:tcW w:type="dxa" w:w="2300"/>
            <w:tcMar>
              <w:top w:type="dxa" w:w="70"/>
              <w:left w:type="dxa" w:w="110"/>
              <w:bottom w:type="dxa" w:w="70"/>
              <w:right w:type="dxa" w:w="110"/>
            </w:tcMar>
          </w:tcPr>
          <w:p>
            <w:pPr>
              <w:spacing w:after="0" w:line="252"/>
            </w:pPr>
            <w:r>
              <w:rPr>
                <w:rFonts w:ascii="Calibri" w:cs="Calibri" w:eastAsia="Calibri" w:hAnsi="Calibri"/>
                <w:b/>
                <w:bCs/>
                <w:color w:val="1A1A1A"/>
                <w:sz w:val="20"/>
                <w:szCs w:val="20"/>
              </w:rPr>
              <w:t xml:space="preserve">Línea base de costo anual</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$716.630 + 15 % = $824.125 CLP</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$442.430 + 15 % = $508.795 CLP</w:t>
            </w:r>
          </w:p>
        </w:tc>
      </w:tr>
      <w:tr>
        <w:tc>
          <w:tcPr>
            <w:tcW w:type="dxa" w:w="2300"/>
            <w:tcMar>
              <w:top w:type="dxa" w:w="70"/>
              <w:left w:type="dxa" w:w="110"/>
              <w:bottom w:type="dxa" w:w="70"/>
              <w:right w:type="dxa" w:w="110"/>
            </w:tcMar>
          </w:tcPr>
          <w:p>
            <w:pPr>
              <w:spacing w:after="0" w:line="252"/>
            </w:pPr>
            <w:r>
              <w:rPr>
                <w:rFonts w:ascii="Calibri" w:cs="Calibri" w:eastAsia="Calibri" w:hAnsi="Calibri"/>
                <w:b/>
                <w:bCs/>
                <w:color w:val="1A1A1A"/>
                <w:sz w:val="20"/>
                <w:szCs w:val="20"/>
              </w:rPr>
              <w:t xml:space="preserve">RNF-06 Disponibilidad</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Mínimo 99,9 % en horario de operación</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Según el nivel de servicio del plan gratuito, con monitoreo y aviso de caídas (sin porcentaje comprometido)</w:t>
            </w:r>
          </w:p>
        </w:tc>
      </w:tr>
      <w:tr>
        <w:tc>
          <w:tcPr>
            <w:tcW w:type="dxa" w:w="2300"/>
            <w:tcMar>
              <w:top w:type="dxa" w:w="70"/>
              <w:left w:type="dxa" w:w="110"/>
              <w:bottom w:type="dxa" w:w="70"/>
              <w:right w:type="dxa" w:w="110"/>
            </w:tcMar>
          </w:tcPr>
          <w:p>
            <w:pPr>
              <w:spacing w:after="0" w:line="252"/>
            </w:pPr>
            <w:r>
              <w:rPr>
                <w:rFonts w:ascii="Calibri" w:cs="Calibri" w:eastAsia="Calibri" w:hAnsi="Calibri"/>
                <w:b/>
                <w:bCs/>
                <w:color w:val="1A1A1A"/>
                <w:sz w:val="20"/>
                <w:szCs w:val="20"/>
              </w:rPr>
              <w:t xml:space="preserve">Respaldo de datos (RNF-10)</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Respaldo diario automático del plan Pro</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Respaldo manual semanal (supabase db dump) y antes de cada migración</w:t>
            </w:r>
          </w:p>
        </w:tc>
      </w:tr>
      <w:tr>
        <w:tc>
          <w:tcPr>
            <w:tcW w:type="dxa" w:w="2300"/>
            <w:tcMar>
              <w:top w:type="dxa" w:w="70"/>
              <w:left w:type="dxa" w:w="110"/>
              <w:bottom w:type="dxa" w:w="70"/>
              <w:right w:type="dxa" w:w="110"/>
            </w:tcMar>
          </w:tcPr>
          <w:p>
            <w:pPr>
              <w:spacing w:after="0" w:line="252"/>
            </w:pPr>
            <w:r>
              <w:rPr>
                <w:rFonts w:ascii="Calibri" w:cs="Calibri" w:eastAsia="Calibri" w:hAnsi="Calibri"/>
                <w:b/>
                <w:bCs/>
                <w:color w:val="1A1A1A"/>
                <w:sz w:val="20"/>
                <w:szCs w:val="20"/>
              </w:rPr>
              <w:t xml:space="preserve">Riesgo R7</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Variación del tipo de cambio USD/CLP</w:t>
            </w:r>
          </w:p>
        </w:tc>
        <w:tc>
          <w:tcPr>
            <w:tcW w:type="dxa" w:w="353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Limitaciones del plan gratuito (pausa por inactividad, sin respaldo automático)</w:t>
            </w:r>
          </w:p>
        </w:tc>
      </w:tr>
    </w:tbl>
    <w:p>
      <w:pPr>
        <w:pStyle w:val="Heading1"/>
        <w:spacing w:after="120" w:before="260"/>
      </w:pPr>
      <w:r>
        <w:rPr>
          <w:rFonts w:ascii="Calibri" w:cs="Calibri" w:eastAsia="Calibri" w:hAnsi="Calibri"/>
          <w:b/>
          <w:bCs/>
          <w:color w:val="0E4A5A"/>
          <w:sz w:val="30"/>
          <w:szCs w:val="30"/>
        </w:rPr>
        <w:t xml:space="preserve">4. Justificación</w:t>
      </w:r>
    </w:p>
    <w:p>
      <w:pPr>
        <w:pStyle w:val="ListParagraph"/>
        <w:numPr>
          <w:ilvl w:val="0"/>
          <w:numId w:val="2"/>
        </w:numPr>
        <w:spacing w:after="70" w:line="260"/>
      </w:pPr>
      <w:r>
        <w:rPr>
          <w:rFonts w:ascii="Calibri" w:cs="Calibri" w:eastAsia="Calibri" w:hAnsi="Calibri"/>
          <w:sz w:val="21"/>
          <w:szCs w:val="21"/>
        </w:rPr>
        <w:t xml:space="preserve">Decisión del cliente: el patrocinador financia la infraestructura (SC-01) y tiene la autoridad para definir su nivel de gasto (Acta, niveles de autoridad).</w:t>
      </w:r>
    </w:p>
    <w:p>
      <w:pPr>
        <w:pStyle w:val="ListParagraph"/>
        <w:numPr>
          <w:ilvl w:val="0"/>
          <w:numId w:val="2"/>
        </w:numPr>
        <w:spacing w:after="70" w:line="260"/>
      </w:pPr>
      <w:r>
        <w:rPr>
          <w:rFonts w:ascii="Calibri" w:cs="Calibri" w:eastAsia="Calibri" w:hAnsi="Calibri"/>
          <w:sz w:val="21"/>
          <w:szCs w:val="21"/>
        </w:rPr>
        <w:t xml:space="preserve">Suficiencia técnica: el plan gratuito incluye todo lo que usa la solución (PostgreSQL, Auth con Google, RLS, Edge Functions y Storage), por lo que no cambia ninguna funcionalidad.</w:t>
      </w:r>
    </w:p>
    <w:p>
      <w:pPr>
        <w:pStyle w:val="ListParagraph"/>
        <w:numPr>
          <w:ilvl w:val="0"/>
          <w:numId w:val="2"/>
        </w:numPr>
        <w:spacing w:after="70" w:line="260"/>
      </w:pPr>
      <w:r>
        <w:rPr>
          <w:rFonts w:ascii="Calibri" w:cs="Calibri" w:eastAsia="Calibri" w:hAnsi="Calibri"/>
          <w:sz w:val="21"/>
          <w:szCs w:val="21"/>
        </w:rPr>
        <w:t xml:space="preserve">Menor costo y sin riesgo cambiario: la línea base baja en $315.330 CLP anuales y el presupuesto queda 100 % en pesos chilenos.</w:t>
      </w:r>
    </w:p>
    <w:p>
      <w:pPr>
        <w:pStyle w:val="ListParagraph"/>
        <w:numPr>
          <w:ilvl w:val="0"/>
          <w:numId w:val="2"/>
        </w:numPr>
        <w:spacing w:after="70" w:line="260"/>
      </w:pPr>
      <w:r>
        <w:rPr>
          <w:rFonts w:ascii="Calibri" w:cs="Calibri" w:eastAsia="Calibri" w:hAnsi="Calibri"/>
          <w:sz w:val="21"/>
          <w:szCs w:val="21"/>
        </w:rPr>
        <w:t xml:space="preserve">Reversible: el paso a Supabase Pro no requiere migrar datos ni cambiar código; se puede activar desde el panel si el negocio crece.</w:t>
      </w:r>
    </w:p>
    <w:p>
      <w:pPr>
        <w:pStyle w:val="Heading1"/>
        <w:spacing w:after="120" w:before="260"/>
      </w:pPr>
      <w:r>
        <w:rPr>
          <w:rFonts w:ascii="Calibri" w:cs="Calibri" w:eastAsia="Calibri" w:hAnsi="Calibri"/>
          <w:b/>
          <w:bCs/>
          <w:color w:val="0E4A5A"/>
          <w:sz w:val="30"/>
          <w:szCs w:val="30"/>
        </w:rPr>
        <w:t xml:space="preserve">5. Impacto en la línea base</w:t>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1900"/>
        <w:gridCol w:w="7460"/>
      </w:tblGrid>
      <w:tr>
        <w:trPr>
          <w:tblHeader/>
        </w:trPr>
        <w:tc>
          <w:tcPr>
            <w:tcW w:type="dxa" w:w="19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Dimensión</w:t>
            </w:r>
          </w:p>
        </w:tc>
        <w:tc>
          <w:tcPr>
            <w:tcW w:type="dxa" w:w="746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Impacto</w:t>
            </w:r>
          </w:p>
        </w:tc>
      </w:tr>
      <w:tr>
        <w:tc>
          <w:tcPr>
            <w:tcW w:type="dxa" w:w="19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Alcance</w:t>
            </w:r>
          </w:p>
        </w:tc>
        <w:tc>
          <w:tcPr>
            <w:tcW w:type="dxa" w:w="74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Sin impacto. No se agrega ni retira funcionalidad del MVP.</w:t>
            </w:r>
          </w:p>
        </w:tc>
      </w:tr>
      <w:tr>
        <w:tc>
          <w:tcPr>
            <w:tcW w:type="dxa" w:w="19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Cronograma</w:t>
            </w:r>
          </w:p>
        </w:tc>
        <w:tc>
          <w:tcPr>
            <w:tcW w:type="dxa" w:w="74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Sin impacto. Los hitos Go-Live (21-nov-2026) y entrega final (12-dic-2026) se mantienen.</w:t>
            </w:r>
          </w:p>
        </w:tc>
      </w:tr>
      <w:tr>
        <w:tc>
          <w:tcPr>
            <w:tcW w:type="dxa" w:w="19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Costo</w:t>
            </w:r>
          </w:p>
        </w:tc>
        <w:tc>
          <w:tcPr>
            <w:tcW w:type="dxa" w:w="74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Positivo: la línea base de costo baja de $824.125 a $508.795 CLP anuales (OpenFactura $428.400 + certificado digital $14.030 + 15 % de contingencia $66.365). Se elimina el único costo en dólares.</w:t>
            </w:r>
          </w:p>
        </w:tc>
      </w:tr>
      <w:tr>
        <w:tc>
          <w:tcPr>
            <w:tcW w:type="dxa" w:w="1900"/>
            <w:shd w:fill="E3F0F2" w:color="auto" w:val="clear"/>
            <w:tcMar>
              <w:top w:type="dxa" w:w="70"/>
              <w:left w:type="dxa" w:w="110"/>
              <w:bottom w:type="dxa" w:w="70"/>
              <w:right w:type="dxa" w:w="110"/>
            </w:tcMar>
          </w:tcPr>
          <w:p>
            <w:pPr>
              <w:spacing w:after="0" w:line="252"/>
            </w:pPr>
            <w:r>
              <w:rPr>
                <w:rFonts w:ascii="Calibri" w:cs="Calibri" w:eastAsia="Calibri" w:hAnsi="Calibri"/>
                <w:b/>
                <w:bCs/>
                <w:color w:val="0E4A5A"/>
                <w:sz w:val="20"/>
                <w:szCs w:val="20"/>
              </w:rPr>
              <w:t xml:space="preserve">Calidad</w:t>
            </w:r>
          </w:p>
        </w:tc>
        <w:tc>
          <w:tcPr>
            <w:tcW w:type="dxa" w:w="74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RNF-06 deja de comprometer un 99,9 % de disponibilidad; RNF-10 pasa a respaldo manual semanal. Se compensa con monitoreo de actividad, ping programado y respaldos manuales.</w:t>
            </w:r>
          </w:p>
        </w:tc>
      </w:tr>
    </w:tbl>
    <w:p>
      <w:pPr>
        <w:pStyle w:val="Heading1"/>
        <w:spacing w:after="120" w:before="260"/>
      </w:pPr>
      <w:r>
        <w:rPr>
          <w:rFonts w:ascii="Calibri" w:cs="Calibri" w:eastAsia="Calibri" w:hAnsi="Calibri"/>
          <w:b/>
          <w:bCs/>
          <w:color w:val="0E4A5A"/>
          <w:sz w:val="30"/>
          <w:szCs w:val="30"/>
        </w:rPr>
        <w:t xml:space="preserve">6. Implicaciones</w:t>
      </w:r>
    </w:p>
    <w:p>
      <w:pPr>
        <w:pStyle w:val="Heading2"/>
        <w:spacing w:after="90" w:before="200"/>
      </w:pPr>
      <w:r>
        <w:rPr>
          <w:rFonts w:ascii="Calibri" w:cs="Calibri" w:eastAsia="Calibri" w:hAnsi="Calibri"/>
          <w:b/>
          <w:bCs/>
          <w:color w:val="0E4A5A"/>
          <w:sz w:val="24"/>
          <w:szCs w:val="24"/>
        </w:rPr>
        <w:t xml:space="preserve">Recursos</w:t>
      </w:r>
    </w:p>
    <w:p>
      <w:pPr>
        <w:spacing w:after="120" w:line="264"/>
      </w:pPr>
      <w:r>
        <w:rPr>
          <w:rFonts w:ascii="Calibri" w:cs="Calibri" w:eastAsia="Calibri" w:hAnsi="Calibri"/>
          <w:sz w:val="21"/>
          <w:szCs w:val="21"/>
        </w:rPr>
        <w:t xml:space="preserve">Carlos Fuentes (backend/datos) configura un ping programado diario para evitar la pausa por inactividad y el respaldo manual semanal con supabase db dump. No se requieren recursos adicionales ni cambios en el código.</w:t>
      </w:r>
    </w:p>
    <w:p>
      <w:pPr>
        <w:pStyle w:val="Heading2"/>
        <w:spacing w:after="90" w:before="200"/>
      </w:pPr>
      <w:r>
        <w:rPr>
          <w:rFonts w:ascii="Calibri" w:cs="Calibri" w:eastAsia="Calibri" w:hAnsi="Calibri"/>
          <w:b/>
          <w:bCs/>
          <w:color w:val="0E4A5A"/>
          <w:sz w:val="24"/>
          <w:szCs w:val="24"/>
        </w:rPr>
        <w:t xml:space="preserve">Interesados</w:t>
      </w:r>
    </w:p>
    <w:p>
      <w:pPr>
        <w:spacing w:after="120" w:line="264"/>
      </w:pPr>
      <w:r>
        <w:rPr>
          <w:rFonts w:ascii="Calibri" w:cs="Calibri" w:eastAsia="Calibri" w:hAnsi="Calibri"/>
          <w:sz w:val="21"/>
          <w:szCs w:val="21"/>
        </w:rPr>
        <w:t xml:space="preserve">Iván Rodríguez (cliente y patrocinador) solicita y aprueba el cambio. El equipo actualiza la documentación de costos y calidad. El docente guía se informa porque afecta la línea base de costo y un requisito no funcional. Los clientes finales no perciben cambios.</w:t>
      </w:r>
    </w:p>
    <w:p>
      <w:pPr>
        <w:pStyle w:val="Heading2"/>
        <w:spacing w:after="90" w:before="200"/>
      </w:pPr>
      <w:r>
        <w:rPr>
          <w:rFonts w:ascii="Calibri" w:cs="Calibri" w:eastAsia="Calibri" w:hAnsi="Calibri"/>
          <w:b/>
          <w:bCs/>
          <w:color w:val="0E4A5A"/>
          <w:sz w:val="24"/>
          <w:szCs w:val="24"/>
        </w:rPr>
        <w:t xml:space="preserve">Documentación a actualizar si se aprueba</w:t>
      </w:r>
    </w:p>
    <w:p>
      <w:pPr>
        <w:pStyle w:val="ListParagraph"/>
        <w:numPr>
          <w:ilvl w:val="0"/>
          <w:numId w:val="2"/>
        </w:numPr>
        <w:spacing w:after="70" w:line="260"/>
      </w:pPr>
      <w:r>
        <w:rPr>
          <w:rFonts w:ascii="Calibri" w:cs="Calibri" w:eastAsia="Calibri" w:hAnsi="Calibri"/>
          <w:sz w:val="21"/>
          <w:szCs w:val="21"/>
        </w:rPr>
        <w:t xml:space="preserve">Acta de Constitución: presupuesto y restricciones (v1.2).</w:t>
      </w:r>
    </w:p>
    <w:p>
      <w:pPr>
        <w:pStyle w:val="ListParagraph"/>
        <w:numPr>
          <w:ilvl w:val="0"/>
          <w:numId w:val="2"/>
        </w:numPr>
        <w:spacing w:after="70" w:line="260"/>
      </w:pPr>
      <w:r>
        <w:rPr>
          <w:rFonts w:ascii="Calibri" w:cs="Calibri" w:eastAsia="Calibri" w:hAnsi="Calibri"/>
          <w:sz w:val="21"/>
          <w:szCs w:val="21"/>
        </w:rPr>
        <w:t xml:space="preserve">Plan de Dirección y planes de Costos, Adquisiciones, Calidad, Recursos, Riesgos y Cambios: línea base de $508.795 CLP, plan gratuito y RNF-06 redefinido (v1.2).</w:t>
      </w:r>
    </w:p>
    <w:p>
      <w:pPr>
        <w:pStyle w:val="ListParagraph"/>
        <w:numPr>
          <w:ilvl w:val="0"/>
          <w:numId w:val="2"/>
        </w:numPr>
        <w:spacing w:after="70" w:line="260"/>
      </w:pPr>
      <w:r>
        <w:rPr>
          <w:rFonts w:ascii="Calibri" w:cs="Calibri" w:eastAsia="Calibri" w:hAnsi="Calibri"/>
          <w:sz w:val="21"/>
          <w:szCs w:val="21"/>
        </w:rPr>
        <w:t xml:space="preserve">Anexos Excel: Presupuesto del Proyecto, Matriz de Adquisiciones y Registro de Riesgos (R7).</w:t>
      </w:r>
    </w:p>
    <w:p>
      <w:pPr>
        <w:pStyle w:val="ListParagraph"/>
        <w:numPr>
          <w:ilvl w:val="0"/>
          <w:numId w:val="2"/>
        </w:numPr>
        <w:spacing w:after="70" w:line="260"/>
      </w:pPr>
      <w:r>
        <w:rPr>
          <w:rFonts w:ascii="Calibri" w:cs="Calibri" w:eastAsia="Calibri" w:hAnsi="Calibri"/>
          <w:sz w:val="21"/>
          <w:szCs w:val="21"/>
        </w:rPr>
        <w:t xml:space="preserve">Especificación y Planilla de Requerimientos: redacción de RNF-06.</w:t>
      </w:r>
    </w:p>
    <w:p>
      <w:pPr>
        <w:pStyle w:val="ListParagraph"/>
        <w:numPr>
          <w:ilvl w:val="0"/>
          <w:numId w:val="2"/>
        </w:numPr>
        <w:spacing w:after="70" w:line="260"/>
      </w:pPr>
      <w:r>
        <w:rPr>
          <w:rFonts w:ascii="Calibri" w:cs="Calibri" w:eastAsia="Calibri" w:hAnsi="Calibri"/>
          <w:sz w:val="21"/>
          <w:szCs w:val="21"/>
        </w:rPr>
        <w:t xml:space="preserve">EDT (Anexo A): paquete 5.2 sin el 99,9 %.</w:t>
      </w:r>
    </w:p>
    <w:p>
      <w:pPr>
        <w:pStyle w:val="ListParagraph"/>
        <w:numPr>
          <w:ilvl w:val="0"/>
          <w:numId w:val="2"/>
        </w:numPr>
        <w:spacing w:after="70" w:line="260"/>
      </w:pPr>
      <w:r>
        <w:rPr>
          <w:rFonts w:ascii="Calibri" w:cs="Calibri" w:eastAsia="Calibri" w:hAnsi="Calibri"/>
          <w:sz w:val="21"/>
          <w:szCs w:val="21"/>
        </w:rPr>
        <w:t xml:space="preserve">Registro de Cambios del Plan 11: registrar la solicitud SC-04.</w:t>
      </w:r>
    </w:p>
    <w:p>
      <w:pPr>
        <w:pStyle w:val="Heading2"/>
        <w:spacing w:after="90" w:before="200"/>
      </w:pPr>
      <w:r>
        <w:rPr>
          <w:rFonts w:ascii="Calibri" w:cs="Calibri" w:eastAsia="Calibri" w:hAnsi="Calibri"/>
          <w:b/>
          <w:bCs/>
          <w:color w:val="0E4A5A"/>
          <w:sz w:val="24"/>
          <w:szCs w:val="24"/>
        </w:rPr>
        <w:t xml:space="preserve">Evidencia</w:t>
      </w:r>
    </w:p>
    <w:p>
      <w:pPr>
        <w:pStyle w:val="ListParagraph"/>
        <w:numPr>
          <w:ilvl w:val="0"/>
          <w:numId w:val="2"/>
        </w:numPr>
        <w:spacing w:after="70" w:line="260"/>
      </w:pPr>
      <w:r>
        <w:rPr>
          <w:rFonts w:ascii="Calibri" w:cs="Calibri" w:eastAsia="Calibri" w:hAnsi="Calibri"/>
          <w:sz w:val="21"/>
          <w:szCs w:val="21"/>
        </w:rPr>
        <w:t xml:space="preserve">Proyecto Supabase tbnevbvvwwzpnowxqyps operando en el plan gratuito (panel de Supabase → Organization → Billing).</w:t>
      </w:r>
    </w:p>
    <w:p>
      <w:pPr>
        <w:pStyle w:val="ListParagraph"/>
        <w:numPr>
          <w:ilvl w:val="0"/>
          <w:numId w:val="2"/>
        </w:numPr>
        <w:spacing w:after="70" w:line="260"/>
      </w:pPr>
      <w:r>
        <w:rPr>
          <w:rFonts w:ascii="Calibri" w:cs="Calibri" w:eastAsia="Calibri" w:hAnsi="Calibri"/>
          <w:sz w:val="21"/>
          <w:szCs w:val="21"/>
        </w:rPr>
        <w:t xml:space="preserve">Presupuesto del Proyecto (Excel) actualizado: subtotal $442.430, contingencia $66.365, total $508.795 CLP.</w:t>
      </w:r>
    </w:p>
    <w:p>
      <w:pPr>
        <w:pStyle w:val="Heading1"/>
        <w:spacing w:after="120" w:before="260"/>
      </w:pPr>
      <w:r>
        <w:rPr>
          <w:rFonts w:ascii="Calibri" w:cs="Calibri" w:eastAsia="Calibri" w:hAnsi="Calibri"/>
          <w:b/>
          <w:bCs/>
          <w:color w:val="0E4A5A"/>
          <w:sz w:val="30"/>
          <w:szCs w:val="30"/>
        </w:rPr>
        <w:t xml:space="preserve">7. Riesgos del cambio y mitigación</w:t>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4680"/>
        <w:gridCol w:w="4680"/>
      </w:tblGrid>
      <w:tr>
        <w:trPr>
          <w:tblHeader/>
        </w:trPr>
        <w:tc>
          <w:tcPr>
            <w:tcW w:type="dxa" w:w="468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Riesgo</w:t>
            </w:r>
          </w:p>
        </w:tc>
        <w:tc>
          <w:tcPr>
            <w:tcW w:type="dxa" w:w="468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Mitigación</w:t>
            </w:r>
          </w:p>
        </w:tc>
      </w:tr>
      <w:tr>
        <w:tc>
          <w:tcPr>
            <w:tcW w:type="dxa" w:w="468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El proyecto se pausa tras 7 días sin actividad.</w:t>
            </w:r>
          </w:p>
        </w:tc>
        <w:tc>
          <w:tcPr>
            <w:tcW w:type="dxa" w:w="468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Con pedidos diarios la base no queda inactiva; además, un ping programado diario (GitHub Actions o cron) mantiene la actividad y se monitorea el estado del proyecto.</w:t>
            </w:r>
          </w:p>
        </w:tc>
      </w:tr>
      <w:tr>
        <w:tc>
          <w:tcPr>
            <w:tcW w:type="dxa" w:w="468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Pérdida de datos sin respaldo diario automático.</w:t>
            </w:r>
          </w:p>
        </w:tc>
        <w:tc>
          <w:tcPr>
            <w:tcW w:type="dxa" w:w="468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Respaldo manual semanal con supabase db dump y antes de cada migración; los respaldos se guardan fuera de Supabase.</w:t>
            </w:r>
          </w:p>
        </w:tc>
      </w:tr>
      <w:tr>
        <w:tc>
          <w:tcPr>
            <w:tcW w:type="dxa" w:w="468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Superar los límites del plan gratuito (500 MB de base de datos, transferencia mensual).</w:t>
            </w:r>
          </w:p>
        </w:tc>
        <w:tc>
          <w:tcPr>
            <w:tcW w:type="dxa" w:w="468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Revisión mensual del uso en el panel; si se acerca al 80 % de algún límite, el cliente evalúa pasar a Pro (cambio reversible y sin migración).</w:t>
            </w:r>
          </w:p>
        </w:tc>
      </w:tr>
    </w:tbl>
    <w:p>
      <w:pPr>
        <w:pStyle w:val="Heading1"/>
        <w:spacing w:after="120" w:before="260"/>
      </w:pPr>
      <w:r>
        <w:rPr>
          <w:rFonts w:ascii="Calibri" w:cs="Calibri" w:eastAsia="Calibri" w:hAnsi="Calibri"/>
          <w:b/>
          <w:bCs/>
          <w:color w:val="0E4A5A"/>
          <w:sz w:val="30"/>
          <w:szCs w:val="30"/>
        </w:rPr>
        <w:t xml:space="preserve">8. Decisión del Comité de Control de Cambios</w:t>
      </w:r>
    </w:p>
    <w:p>
      <w:pPr>
        <w:spacing w:after="120" w:line="264"/>
      </w:pPr>
      <w:r>
        <w:rPr>
          <w:rFonts w:ascii="Calibri" w:cs="Calibri" w:eastAsia="Calibri" w:hAnsi="Calibri"/>
          <w:b/>
          <w:bCs/>
          <w:color w:val="1A1A1A"/>
          <w:sz w:val="21"/>
          <w:szCs w:val="21"/>
        </w:rPr>
        <w:t xml:space="preserve">Decisión: ☒ Aprobado    ☐ Rechazado    ☐ Diferido</w:t>
      </w:r>
      <w:r>
        <w:rPr>
          <w:rFonts w:ascii="Calibri" w:cs="Calibri" w:eastAsia="Calibri" w:hAnsi="Calibri"/>
          <w:color w:val="1A1A1A"/>
          <w:sz w:val="21"/>
          <w:szCs w:val="21"/>
        </w:rPr>
        <w:t xml:space="preserve"/>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2350"/>
        <w:gridCol w:w="2450"/>
        <w:gridCol w:w="1560"/>
        <w:gridCol w:w="1450"/>
        <w:gridCol w:w="1550"/>
      </w:tblGrid>
      <w:tr>
        <w:trPr>
          <w:tblHeader/>
        </w:trPr>
        <w:tc>
          <w:tcPr>
            <w:tcW w:type="dxa" w:w="235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Integrante</w:t>
            </w:r>
          </w:p>
        </w:tc>
        <w:tc>
          <w:tcPr>
            <w:tcW w:type="dxa" w:w="245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Rol en el comité</w:t>
            </w:r>
          </w:p>
        </w:tc>
        <w:tc>
          <w:tcPr>
            <w:tcW w:type="dxa" w:w="156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Decisión</w:t>
            </w:r>
          </w:p>
        </w:tc>
        <w:tc>
          <w:tcPr>
            <w:tcW w:type="dxa" w:w="145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Firma</w:t>
            </w:r>
          </w:p>
        </w:tc>
        <w:tc>
          <w:tcPr>
            <w:tcW w:type="dxa" w:w="155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Fecha</w:t>
            </w:r>
          </w:p>
        </w:tc>
      </w:tr>
      <w:tr>
        <w:tc>
          <w:tcPr>
            <w:tcW w:type="dxa" w:w="23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Iván Rodríguez</w:t>
            </w:r>
          </w:p>
        </w:tc>
        <w:tc>
          <w:tcPr>
            <w:tcW w:type="dxa" w:w="2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Autoridad final de aprobación</w:t>
            </w:r>
          </w:p>
        </w:tc>
        <w:tc>
          <w:tcPr>
            <w:tcW w:type="dxa" w:w="15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Aprobado</w:t>
            </w:r>
          </w:p>
        </w:tc>
        <w:tc>
          <w:tcPr>
            <w:tcW w:type="dxa" w:w="1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
            </w:r>
          </w:p>
        </w:tc>
        <w:tc>
          <w:tcPr>
            <w:tcW w:type="dxa" w:w="15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09/10/2026</w:t>
            </w:r>
          </w:p>
        </w:tc>
      </w:tr>
      <w:tr>
        <w:tc>
          <w:tcPr>
            <w:tcW w:type="dxa" w:w="23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Carlos Fuentes</w:t>
            </w:r>
          </w:p>
        </w:tc>
        <w:tc>
          <w:tcPr>
            <w:tcW w:type="dxa" w:w="2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Factibilidad técnica y de datos</w:t>
            </w:r>
          </w:p>
        </w:tc>
        <w:tc>
          <w:tcPr>
            <w:tcW w:type="dxa" w:w="15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Aprobado</w:t>
            </w:r>
          </w:p>
        </w:tc>
        <w:tc>
          <w:tcPr>
            <w:tcW w:type="dxa" w:w="1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
            </w:r>
          </w:p>
        </w:tc>
        <w:tc>
          <w:tcPr>
            <w:tcW w:type="dxa" w:w="15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09/10/2026</w:t>
            </w:r>
          </w:p>
        </w:tc>
      </w:tr>
      <w:tr>
        <w:tc>
          <w:tcPr>
            <w:tcW w:type="dxa" w:w="23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Felipe Moraga</w:t>
            </w:r>
          </w:p>
        </w:tc>
        <w:tc>
          <w:tcPr>
            <w:tcW w:type="dxa" w:w="2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Impacto en interfaz / UX</w:t>
            </w:r>
          </w:p>
        </w:tc>
        <w:tc>
          <w:tcPr>
            <w:tcW w:type="dxa" w:w="15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Aprobado</w:t>
            </w:r>
          </w:p>
        </w:tc>
        <w:tc>
          <w:tcPr>
            <w:tcW w:type="dxa" w:w="1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
            </w:r>
          </w:p>
        </w:tc>
        <w:tc>
          <w:tcPr>
            <w:tcW w:type="dxa" w:w="15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09/10/2026</w:t>
            </w:r>
          </w:p>
        </w:tc>
      </w:tr>
      <w:tr>
        <w:tc>
          <w:tcPr>
            <w:tcW w:type="dxa" w:w="23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Docente guía</w:t>
            </w:r>
          </w:p>
        </w:tc>
        <w:tc>
          <w:tcPr>
            <w:tcW w:type="dxa" w:w="2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Consulta (compromiso académico APT)</w:t>
            </w:r>
          </w:p>
        </w:tc>
        <w:tc>
          <w:tcPr>
            <w:tcW w:type="dxa" w:w="15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Informado</w:t>
            </w:r>
          </w:p>
        </w:tc>
        <w:tc>
          <w:tcPr>
            <w:tcW w:type="dxa" w:w="14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
            </w:r>
          </w:p>
        </w:tc>
        <w:tc>
          <w:tcPr>
            <w:tcW w:type="dxa" w:w="155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__/__/2026</w:t>
            </w:r>
          </w:p>
        </w:tc>
      </w:tr>
    </w:tbl>
    <w:p>
      <w:pPr>
        <w:pStyle w:val="Heading1"/>
        <w:spacing w:after="120" w:before="260"/>
      </w:pPr>
      <w:r>
        <w:rPr>
          <w:rFonts w:ascii="Calibri" w:cs="Calibri" w:eastAsia="Calibri" w:hAnsi="Calibri"/>
          <w:b/>
          <w:bCs/>
          <w:color w:val="0E4A5A"/>
          <w:sz w:val="30"/>
          <w:szCs w:val="30"/>
        </w:rPr>
        <w:t xml:space="preserve">9. Actualización del Registro de Cambios (Plan 11)</w:t>
      </w:r>
    </w:p>
    <w:tbl>
      <w:tblPr>
        <w:tblW w:type="dxa" w:w="9360"/>
        <w:tblBorders>
          <w:top w:val="single" w:color="C9D6D9" w:sz="4"/>
          <w:left w:val="single" w:color="C9D6D9" w:sz="4"/>
          <w:bottom w:val="single" w:color="C9D6D9" w:sz="4"/>
          <w:right w:val="single" w:color="C9D6D9" w:sz="4"/>
          <w:insideH w:val="single" w:color="C9D6D9" w:sz="4"/>
          <w:insideV w:val="single" w:color="C9D6D9" w:sz="4"/>
        </w:tblBorders>
      </w:tblPr>
      <w:tblGrid>
        <w:gridCol w:w="900"/>
        <w:gridCol w:w="4260"/>
        <w:gridCol w:w="1700"/>
        <w:gridCol w:w="1200"/>
        <w:gridCol w:w="1300"/>
      </w:tblGrid>
      <w:tr>
        <w:trPr>
          <w:tblHeader/>
        </w:trPr>
        <w:tc>
          <w:tcPr>
            <w:tcW w:type="dxa" w:w="9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N°</w:t>
            </w:r>
          </w:p>
        </w:tc>
        <w:tc>
          <w:tcPr>
            <w:tcW w:type="dxa" w:w="426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Descripción</w:t>
            </w:r>
          </w:p>
        </w:tc>
        <w:tc>
          <w:tcPr>
            <w:tcW w:type="dxa" w:w="17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Solicitante</w:t>
            </w:r>
          </w:p>
        </w:tc>
        <w:tc>
          <w:tcPr>
            <w:tcW w:type="dxa" w:w="12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Decisión</w:t>
            </w:r>
          </w:p>
        </w:tc>
        <w:tc>
          <w:tcPr>
            <w:tcW w:type="dxa" w:w="1300"/>
            <w:shd w:fill="0E4A5A" w:color="auto"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Fecha</w:t>
            </w:r>
          </w:p>
        </w:tc>
      </w:tr>
      <w:tr>
        <w:tc>
          <w:tcPr>
            <w:tcW w:type="dxa" w:w="900"/>
            <w:tcMar>
              <w:top w:type="dxa" w:w="70"/>
              <w:left w:type="dxa" w:w="110"/>
              <w:bottom w:type="dxa" w:w="70"/>
              <w:right w:type="dxa" w:w="110"/>
            </w:tcMar>
          </w:tcPr>
          <w:p>
            <w:pPr>
              <w:spacing w:after="0" w:line="252"/>
            </w:pPr>
            <w:r>
              <w:rPr>
                <w:rFonts w:ascii="Calibri" w:cs="Calibri" w:eastAsia="Calibri" w:hAnsi="Calibri"/>
                <w:b/>
                <w:bCs/>
                <w:color w:val="1A1A1A"/>
                <w:sz w:val="20"/>
                <w:szCs w:val="20"/>
              </w:rPr>
              <w:t xml:space="preserve">SC-04</w:t>
            </w:r>
          </w:p>
        </w:tc>
        <w:tc>
          <w:tcPr>
            <w:tcW w:type="dxa" w:w="426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Por decisión del cliente, Supabase se utiliza en su plan gratuito: se retira Supabase Pro de la línea base de costo ($508.795 CLP/año) y RNF-06 se redefine sin porcentaje de disponibilidad comprometido.</w:t>
            </w:r>
          </w:p>
        </w:tc>
        <w:tc>
          <w:tcPr>
            <w:tcW w:type="dxa" w:w="170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Iván Rodríguez (Patrocinador / Cliente)</w:t>
            </w:r>
          </w:p>
        </w:tc>
        <w:tc>
          <w:tcPr>
            <w:tcW w:type="dxa" w:w="120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Aprobado</w:t>
            </w:r>
          </w:p>
        </w:tc>
        <w:tc>
          <w:tcPr>
            <w:tcW w:type="dxa" w:w="1300"/>
            <w:tcMar>
              <w:top w:type="dxa" w:w="70"/>
              <w:left w:type="dxa" w:w="110"/>
              <w:bottom w:type="dxa" w:w="70"/>
              <w:right w:type="dxa" w:w="110"/>
            </w:tcMar>
          </w:tcPr>
          <w:p>
            <w:pPr>
              <w:spacing w:after="0" w:line="252"/>
            </w:pPr>
            <w:r>
              <w:rPr>
                <w:rFonts w:ascii="Calibri" w:cs="Calibri" w:eastAsia="Calibri" w:hAnsi="Calibri"/>
                <w:color w:val="1A1A1A"/>
                <w:sz w:val="20"/>
                <w:szCs w:val="20"/>
              </w:rPr>
              <w:t xml:space="preserve">09-10-2026</w:t>
            </w:r>
          </w:p>
        </w:tc>
      </w:tr>
    </w:tbl>
    <w:p>
      <w:pPr>
        <w:spacing w:before="120"/>
      </w:pPr>
      <w:r>
        <w:rPr>
          <w:rFonts w:ascii="Calibri" w:cs="Calibri" w:eastAsia="Calibri" w:hAnsi="Calibri"/>
          <w:i/>
          <w:iCs/>
          <w:color w:val="5A6B70"/>
          <w:sz w:val="18"/>
          <w:szCs w:val="18"/>
        </w:rPr>
        <w:t xml:space="preserve">Nota: si a futuro el volumen del negocio lo requiere, el paso a Supabase Pro se tramitará como una nueva solicitud de cambio que restituya el costo en la línea base.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0"/>
        <w:sz w:val="16"/>
        <w:szCs w:val="16"/>
      </w:rPr>
      <w:t xml:space="preserve">Befine Store — Solicitud de Cambio SC-04     ·     Página </w:t>
    </w:r>
    <w:r>
      <w:rPr>
        <w:rFonts w:ascii="Calibri" w:cs="Calibri" w:eastAsia="Calibri" w:hAnsi="Calibri"/>
        <w:color w:val="5A6B70"/>
        <w:sz w:val="16"/>
        <w:szCs w:val="16"/>
      </w:rPr>
      <w:fldChar w:fldCharType="begin"/>
      <w:instrText xml:space="preserve">PAGE</w:instrText>
      <w:fldChar w:fldCharType="separate"/>
      <w:fldChar w:fldCharType="end"/>
    </w:r>
    <w:r>
      <w:rPr>
        <w:rFonts w:ascii="Calibri" w:cs="Calibri" w:eastAsia="Calibri" w:hAnsi="Calibri"/>
        <w:color w:val="5A6B70"/>
        <w:sz w:val="16"/>
        <w:szCs w:val="16"/>
      </w:rPr>
      <w:t xml:space="preserve"> de </w:t>
    </w:r>
    <w:r>
      <w:rPr>
        <w:rFonts w:ascii="Calibri" w:cs="Calibri" w:eastAsia="Calibri" w:hAnsi="Calibri"/>
        <w:color w:val="5A6B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4A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Cambio SC-03 — Befine Store</dc:title>
  <dc:creator>Plaxi Solutions — Grupo N3</dc:creator>
  <dc:description>Cambio de frontend Flutter a HTML/CSS/JS</dc:description>
  <cp:lastModifiedBy>Un-named</cp:lastModifiedBy>
  <cp:revision>1</cp:revision>
  <dcterms:created xsi:type="dcterms:W3CDTF">2026-09-23T00:45:14.578Z</dcterms:created>
  <dcterms:modified xsi:type="dcterms:W3CDTF">2026-09-23T00:45:14.586Z</dcterms:modified>
</cp:coreProperties>
</file>

<file path=docProps/custom.xml><?xml version="1.0" encoding="utf-8"?>
<Properties xmlns="http://schemas.openxmlformats.org/officeDocument/2006/custom-properties" xmlns:vt="http://schemas.openxmlformats.org/officeDocument/2006/docPropsVTypes"/>
</file>