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print-backlog--sprint-1"/>
    <w:p>
      <w:pPr>
        <w:pStyle w:val="Heading1"/>
      </w:pPr>
      <w:r>
        <w:t xml:space="preserve">Sprint Backlog — Sprint 1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4338"/>
        <w:gridCol w:w="10459"/>
      </w:tblGrid>
      <w:tr>
        <w:trPr>
          <w:tblHeader w:val="true"/>
        </w:trPr>
        <w:tc>
          <w:tcPr>
            <w:tcW w:w="4338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10459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Valor</w:t>
            </w:r>
          </w:p>
        </w:tc>
      </w:tr>
      <w:tr>
        <w:tc>
          <w:tcPr>
            <w:tcW w:w="4338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Sprint</w:t>
            </w:r>
          </w:p>
        </w:tc>
        <w:tc>
          <w:tcPr>
            <w:tcW w:w="1045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 de 4 (Fase de Ejecución)</w:t>
            </w:r>
          </w:p>
        </w:tc>
      </w:tr>
      <w:tr>
        <w:tc>
          <w:tcPr>
            <w:tcW w:w="433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Fechas</w:t>
            </w:r>
          </w:p>
        </w:tc>
        <w:tc>
          <w:tcPr>
            <w:tcW w:w="1045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21-sep-2026 → 04-oct-2026 (semanas 7–8)</w:t>
            </w:r>
          </w:p>
        </w:tc>
      </w:tr>
      <w:tr>
        <w:tc>
          <w:tcPr>
            <w:tcW w:w="4338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Scrum Master / líder de sprint</w:t>
            </w:r>
          </w:p>
        </w:tc>
        <w:tc>
          <w:tcPr>
            <w:tcW w:w="1045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Felipe Moraga</w:t>
            </w:r>
          </w:p>
        </w:tc>
      </w:tr>
      <w:tr>
        <w:tc>
          <w:tcPr>
            <w:tcW w:w="433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Product Owner</w:t>
            </w:r>
          </w:p>
        </w:tc>
        <w:tc>
          <w:tcPr>
            <w:tcW w:w="1045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</w:t>
            </w:r>
          </w:p>
        </w:tc>
      </w:tr>
      <w:tr>
        <w:tc>
          <w:tcPr>
            <w:tcW w:w="4338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Equipo de desarrollo</w:t>
            </w:r>
          </w:p>
        </w:tc>
        <w:tc>
          <w:tcPr>
            <w:tcW w:w="1045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Carlos Fuentes · Iván Rodríguez</w:t>
            </w:r>
          </w:p>
        </w:tc>
      </w:tr>
      <w:tr>
        <w:tc>
          <w:tcPr>
            <w:tcW w:w="433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Repositorio de código</w:t>
            </w:r>
          </w:p>
        </w:tc>
        <w:tc>
          <w:tcPr>
            <w:tcW w:w="1045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github.com/IvnRP/befine-store — rama </w:t>
            </w:r>
            <w:r>
              <w:rPr>
                <w:rStyle w:val="VerbatimChar"/>
                <w:rFonts w:ascii="Arial" w:hAnsi="Arial"/>
                <w:sz w:val="18"/>
              </w:rPr>
              <w:t xml:space="preserve">ivan</w:t>
            </w:r>
            <w:r>
              <w:rPr>
                <w:rFonts w:ascii="Arial" w:hAnsi="Arial"/>
                <w:sz w:val="18"/>
              </w:rPr>
              <w:t xml:space="preserve"> (PR #19 hacia </w:t>
            </w:r>
            <w:r>
              <w:rPr>
                <w:rStyle w:val="VerbatimChar"/>
                <w:rFonts w:ascii="Arial" w:hAnsi="Arial"/>
                <w:sz w:val="18"/>
              </w:rPr>
              <w:t xml:space="preserve">main</w:t>
            </w:r>
            <w:r>
              <w:rPr>
                <w:rFonts w:ascii="Arial" w:hAnsi="Arial"/>
                <w:sz w:val="18"/>
              </w:rPr>
              <w:t xml:space="preserve">) y </w:t>
            </w:r>
            <w:r>
              <w:rPr>
                <w:rStyle w:val="VerbatimChar"/>
                <w:rFonts w:ascii="Arial" w:hAnsi="Arial"/>
                <w:sz w:val="18"/>
              </w:rPr>
              <w:t xml:space="preserve">feature/CFG-04-github</w:t>
            </w:r>
          </w:p>
        </w:tc>
      </w:tr>
      <w:tr>
        <w:tc>
          <w:tcPr>
            <w:tcW w:w="4338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Objetivo del sprint</w:t>
            </w:r>
          </w:p>
        </w:tc>
        <w:tc>
          <w:tcPr>
            <w:tcW w:w="10459" w:type="dxa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Arial" w:hAnsi="Arial"/>
                <w:i/>
                <w:sz w:val="18"/>
              </w:rPr>
              <w:t xml:space="preserve">Construir la base del frontend en HTML/CSS/JS tras la SC-02, con la tienda pública (inicio, catálogo y ficha) leyendo el catálogo real desde Supabase, la cuenta del cliente y la primera versión del checkout.</w:t>
            </w:r>
          </w:p>
        </w:tc>
      </w:tr>
      <w:tr>
        <w:tc>
          <w:tcPr>
            <w:tcW w:w="433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Informe de cierre</w:t>
            </w:r>
          </w:p>
        </w:tc>
        <w:tc>
          <w:tcPr>
            <w:tcW w:w="1045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hyperlink r:id="rId20">
              <w:r>
                <w:rPr>
                  <w:rStyle w:val="Hyperlink"/>
                </w:rPr>
                <w:t xml:space="preserve">Informe_Sprint1_Befine_GrupoN3.docx</w:t>
              </w:r>
            </w:hyperlink>
          </w:p>
        </w:tc>
      </w:tr>
    </w:tbl>
    <w:bookmarkStart w:id="21" w:name="historias-y-tareas"/>
    <w:p>
      <w:pPr>
        <w:pStyle w:val="Heading2"/>
      </w:pPr>
      <w:r>
        <w:t xml:space="preserve">Historias y tareas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1660"/>
        <w:gridCol w:w="7798"/>
        <w:gridCol w:w="2372"/>
        <w:gridCol w:w="2967"/>
      </w:tblGrid>
      <w:tr>
        <w:trPr>
          <w:tblHeader w:val="true"/>
        </w:trPr>
        <w:tc>
          <w:tcPr>
            <w:tcW w:w="1660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7798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Tarea</w:t>
            </w:r>
          </w:p>
        </w:tc>
        <w:tc>
          <w:tcPr>
            <w:tcW w:w="2372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Responsable</w:t>
            </w:r>
          </w:p>
        </w:tc>
        <w:tc>
          <w:tcPr>
            <w:tcW w:w="2967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Estado al cierre</w:t>
            </w:r>
          </w:p>
        </w:tc>
      </w:tr>
      <w:tr>
        <w:tc>
          <w:tcPr>
            <w:tcW w:w="166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—</w:t>
            </w:r>
          </w:p>
        </w:tc>
        <w:tc>
          <w:tcPr>
            <w:tcW w:w="779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Sprint Planning, seguimiento diario, Sprint Review y retrospectiva; tablero y coordinación del equipo</w:t>
            </w:r>
          </w:p>
        </w:tc>
        <w:tc>
          <w:tcPr>
            <w:tcW w:w="237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Felipe Moraga (Scrum Master)</w:t>
            </w:r>
          </w:p>
        </w:tc>
        <w:tc>
          <w:tcPr>
            <w:tcW w:w="296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66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SC-02</w:t>
            </w:r>
          </w:p>
        </w:tc>
        <w:tc>
          <w:tcPr>
            <w:tcW w:w="779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Solicitud de cambio Flutter → HTML/CSS/JS (aprobada el 22-sep)</w:t>
            </w:r>
          </w:p>
        </w:tc>
        <w:tc>
          <w:tcPr>
            <w:tcW w:w="237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Carlos Fuentes</w:t>
            </w:r>
          </w:p>
        </w:tc>
        <w:tc>
          <w:tcPr>
            <w:tcW w:w="296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66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SC-02</w:t>
            </w:r>
          </w:p>
        </w:tc>
        <w:tc>
          <w:tcPr>
            <w:tcW w:w="779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Retiro del proyecto Flutter del repositorio (27 archivos) — commit </w:t>
            </w:r>
            <w:r>
              <w:rPr>
                <w:rStyle w:val="VerbatimChar"/>
                <w:rFonts w:ascii="Arial" w:hAnsi="Arial"/>
                <w:sz w:val="18"/>
              </w:rPr>
              <w:t xml:space="preserve">46edfc7</w:t>
            </w:r>
          </w:p>
        </w:tc>
        <w:tc>
          <w:tcPr>
            <w:tcW w:w="237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</w:t>
            </w:r>
          </w:p>
        </w:tc>
        <w:tc>
          <w:tcPr>
            <w:tcW w:w="296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66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—</w:t>
            </w:r>
          </w:p>
        </w:tc>
        <w:tc>
          <w:tcPr>
            <w:tcW w:w="779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Prototipo del inicio (escena según la hora, agua reactiva, saludo por franja)</w:t>
            </w:r>
          </w:p>
        </w:tc>
        <w:tc>
          <w:tcPr>
            <w:tcW w:w="237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Carlos Fuentes</w:t>
            </w:r>
          </w:p>
        </w:tc>
        <w:tc>
          <w:tcPr>
            <w:tcW w:w="296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66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—</w:t>
            </w:r>
          </w:p>
        </w:tc>
        <w:tc>
          <w:tcPr>
            <w:tcW w:w="779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Maqueta navegable: inicio, catálogo y ficha, con barra y pie compartidos — commit </w:t>
            </w:r>
            <w:r>
              <w:rPr>
                <w:rStyle w:val="VerbatimChar"/>
                <w:rFonts w:ascii="Arial" w:hAnsi="Arial"/>
                <w:sz w:val="18"/>
              </w:rPr>
              <w:t xml:space="preserve">2686d31</w:t>
            </w:r>
          </w:p>
        </w:tc>
        <w:tc>
          <w:tcPr>
            <w:tcW w:w="237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</w:t>
            </w:r>
          </w:p>
        </w:tc>
        <w:tc>
          <w:tcPr>
            <w:tcW w:w="296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66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HU-02</w:t>
            </w:r>
          </w:p>
        </w:tc>
        <w:tc>
          <w:tcPr>
            <w:tcW w:w="779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Catálogo, variantes y precios leídos desde Supabase (</w:t>
            </w:r>
            <w:r>
              <w:rPr>
                <w:rStyle w:val="VerbatimChar"/>
                <w:rFonts w:ascii="Arial" w:hAnsi="Arial"/>
                <w:sz w:val="18"/>
              </w:rPr>
              <w:t xml:space="preserve">data.js</w:t>
            </w:r>
            <w:r>
              <w:rPr>
                <w:rFonts w:ascii="Arial" w:hAnsi="Arial"/>
                <w:sz w:val="18"/>
              </w:rPr>
              <w:t xml:space="preserve"> como puente único; conexión del PR #18)</w:t>
            </w:r>
          </w:p>
        </w:tc>
        <w:tc>
          <w:tcPr>
            <w:tcW w:w="237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Carlos Fuentes / Iván Rodríguez</w:t>
            </w:r>
          </w:p>
        </w:tc>
        <w:tc>
          <w:tcPr>
            <w:tcW w:w="296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660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HU-04</w:t>
            </w:r>
          </w:p>
        </w:tc>
        <w:tc>
          <w:tcPr>
            <w:tcW w:w="779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Carrito compartido entre páginas (cajón lateral, cantidades, acceso al pago)</w:t>
            </w:r>
          </w:p>
        </w:tc>
        <w:tc>
          <w:tcPr>
            <w:tcW w:w="237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 / Carlos Fuentes</w:t>
            </w:r>
          </w:p>
        </w:tc>
        <w:tc>
          <w:tcPr>
            <w:tcW w:w="296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 En el navegador (guardarlo en la base pasa al S2)</w:t>
            </w:r>
          </w:p>
        </w:tc>
      </w:tr>
      <w:tr>
        <w:tc>
          <w:tcPr>
            <w:tcW w:w="166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HU-01</w:t>
            </w:r>
          </w:p>
        </w:tc>
        <w:tc>
          <w:tcPr>
            <w:tcW w:w="779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Registro, ingreso, recuperación y cambio de contraseña con Supabase Auth; panel del cliente — commit </w:t>
            </w:r>
            <w:r>
              <w:rPr>
                <w:rStyle w:val="VerbatimChar"/>
                <w:rFonts w:ascii="Arial" w:hAnsi="Arial"/>
                <w:sz w:val="18"/>
              </w:rPr>
              <w:t xml:space="preserve">a013028</w:t>
            </w:r>
          </w:p>
        </w:tc>
        <w:tc>
          <w:tcPr>
            <w:tcW w:w="237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</w:t>
            </w:r>
          </w:p>
        </w:tc>
        <w:tc>
          <w:tcPr>
            <w:tcW w:w="296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Falta configurar el ingreso con Google</w:t>
            </w:r>
          </w:p>
        </w:tc>
      </w:tr>
      <w:tr>
        <w:tc>
          <w:tcPr>
            <w:tcW w:w="1660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HU-05 / HU-06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iCs/>
                <w:rFonts w:ascii="Arial" w:hAnsi="Arial"/>
                <w:i/>
                <w:sz w:val="18"/>
              </w:rPr>
              <w:t xml:space="preserve">(adelantadas del S2)</w:t>
            </w:r>
          </w:p>
        </w:tc>
        <w:tc>
          <w:tcPr>
            <w:tcW w:w="779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Checkout en una página, como invitado o con cuenta: despacho por comuna, entrega estándar o agendada, boleta o factura</w:t>
            </w:r>
          </w:p>
        </w:tc>
        <w:tc>
          <w:tcPr>
            <w:tcW w:w="237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</w:t>
            </w:r>
          </w:p>
        </w:tc>
        <w:tc>
          <w:tcPr>
            <w:tcW w:w="296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Interfaz lista; pedido en demostración</w:t>
            </w:r>
          </w:p>
        </w:tc>
      </w:tr>
      <w:tr>
        <w:tc>
          <w:tcPr>
            <w:tcW w:w="166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HU-03</w:t>
            </w:r>
          </w:p>
        </w:tc>
        <w:tc>
          <w:tcPr>
            <w:tcW w:w="779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CRUD de productos (admin)</w:t>
            </w:r>
          </w:p>
        </w:tc>
        <w:tc>
          <w:tcPr>
            <w:tcW w:w="237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—</w:t>
            </w:r>
          </w:p>
        </w:tc>
        <w:tc>
          <w:tcPr>
            <w:tcW w:w="296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 No iniciada: se priorizó la tienda pública y la cuenta; se replanifica al S4 junto al resto del panel</w:t>
            </w:r>
          </w:p>
        </w:tc>
      </w:tr>
      <w:tr>
        <w:tc>
          <w:tcPr>
            <w:tcW w:w="166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HU-15</w:t>
            </w:r>
          </w:p>
        </w:tc>
        <w:tc>
          <w:tcPr>
            <w:tcW w:w="779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Reseñas reales de Google en el inicio (Edge Function </w:t>
            </w:r>
            <w:r>
              <w:rPr>
                <w:rStyle w:val="VerbatimChar"/>
                <w:rFonts w:ascii="Arial" w:hAnsi="Arial"/>
                <w:sz w:val="18"/>
              </w:rPr>
              <w:t xml:space="preserve">resenas-google</w:t>
            </w:r>
            <w:r>
              <w:rPr>
                <w:rFonts w:ascii="Arial" w:hAnsi="Arial"/>
                <w:sz w:val="18"/>
              </w:rPr>
              <w:t xml:space="preserve">)</w:t>
            </w:r>
          </w:p>
        </w:tc>
        <w:tc>
          <w:tcPr>
            <w:tcW w:w="237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</w:t>
            </w:r>
          </w:p>
        </w:tc>
        <w:tc>
          <w:tcPr>
            <w:tcW w:w="296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66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—</w:t>
            </w:r>
          </w:p>
        </w:tc>
        <w:tc>
          <w:tcPr>
            <w:tcW w:w="779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Optimización de imágenes (WebP; logo de 652 KB a 85 KB) y modo ligero automático para celulares básicos</w:t>
            </w:r>
          </w:p>
        </w:tc>
        <w:tc>
          <w:tcPr>
            <w:tcW w:w="237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</w:t>
            </w:r>
          </w:p>
        </w:tc>
        <w:tc>
          <w:tcPr>
            <w:tcW w:w="296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660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CFG-04</w:t>
            </w:r>
          </w:p>
        </w:tc>
        <w:tc>
          <w:tcPr>
            <w:tcW w:w="779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Plantillas de issues y PR; README al stack de la SC-02 — commit </w:t>
            </w:r>
            <w:r>
              <w:rPr>
                <w:rStyle w:val="VerbatimChar"/>
                <w:rFonts w:ascii="Arial" w:hAnsi="Arial"/>
                <w:sz w:val="18"/>
              </w:rPr>
              <w:t xml:space="preserve">ec04bdb</w:t>
            </w:r>
          </w:p>
        </w:tc>
        <w:tc>
          <w:tcPr>
            <w:tcW w:w="237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</w:t>
            </w:r>
          </w:p>
        </w:tc>
        <w:tc>
          <w:tcPr>
            <w:tcW w:w="296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 (rama sin integrar a </w:t>
            </w:r>
            <w:r>
              <w:rPr>
                <w:rStyle w:val="VerbatimChar"/>
                <w:rFonts w:ascii="Arial" w:hAnsi="Arial"/>
                <w:sz w:val="18"/>
              </w:rPr>
              <w:t xml:space="preserve">main</w:t>
            </w:r>
            <w:r>
              <w:rPr>
                <w:rFonts w:ascii="Arial" w:hAnsi="Arial"/>
                <w:sz w:val="18"/>
              </w:rPr>
              <w:t xml:space="preserve">)</w:t>
            </w:r>
          </w:p>
        </w:tc>
      </w:tr>
      <w:tr>
        <w:tc>
          <w:tcPr>
            <w:tcW w:w="166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—</w:t>
            </w:r>
          </w:p>
        </w:tc>
        <w:tc>
          <w:tcPr>
            <w:tcW w:w="779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Validación de reglas de negocio: variantes con o sin bidón, precios y comunas</w:t>
            </w:r>
          </w:p>
        </w:tc>
        <w:tc>
          <w:tcPr>
            <w:tcW w:w="237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 (PO)</w:t>
            </w:r>
          </w:p>
        </w:tc>
        <w:tc>
          <w:tcPr>
            <w:tcW w:w="296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</w:tbl>
    <w:bookmarkEnd w:id="21"/>
    <w:bookmarkStart w:id="22" w:name="sprint-review-04-oct-2026"/>
    <w:p>
      <w:pPr>
        <w:pStyle w:val="Heading2"/>
      </w:pPr>
      <w:r>
        <w:t xml:space="preserve">Sprint Review (04-oct-2026)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Incremento demostrado:</w:t>
      </w:r>
      <w:r>
        <w:t xml:space="preserve"> tienda navegable con el catálogo real (11 productos, 12 variantes), carrito entre páginas, cuenta del cliente con Supabase Auth y checkout completo con despacho por comuna (pedido y pago en modo demostración).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Decisión del PO:</w:t>
      </w:r>
      <w:r>
        <w:t xml:space="preserve"> se acepta el incremento. Para el Sprint 2 se prioriza crear el pedido de forma segura en el servidor antes de conectar Mercado Pago, y definir los roles admin y chofer.</w:t>
      </w:r>
    </w:p>
    <w:bookmarkEnd w:id="22"/>
    <w:bookmarkStart w:id="23" w:name="resultado"/>
    <w:p>
      <w:pPr>
        <w:pStyle w:val="Heading2"/>
      </w:pPr>
      <w:r>
        <w:t xml:space="preserve">Resultado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6957"/>
        <w:gridCol w:w="7840"/>
      </w:tblGrid>
      <w:tr>
        <w:trPr>
          <w:tblHeader w:val="true"/>
        </w:trPr>
        <w:tc>
          <w:tcPr>
            <w:tcW w:w="6957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Indicador</w:t>
            </w:r>
          </w:p>
        </w:tc>
        <w:tc>
          <w:tcPr>
            <w:tcW w:w="7840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Valor</w:t>
            </w:r>
          </w:p>
        </w:tc>
      </w:tr>
      <w:tr>
        <w:tc>
          <w:tcPr>
            <w:tcW w:w="695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Historias del hito Sprint 1 terminadas</w:t>
            </w:r>
          </w:p>
        </w:tc>
        <w:tc>
          <w:tcPr>
            <w:tcW w:w="784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HU-02, HU-04 (carrito en el navegador) y HU-15 (reseñas de Google)</w:t>
            </w:r>
          </w:p>
        </w:tc>
      </w:tr>
      <w:tr>
        <w:tc>
          <w:tcPr>
            <w:tcW w:w="695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Historias parciales (continúan en el S2)</w:t>
            </w:r>
          </w:p>
        </w:tc>
        <w:tc>
          <w:tcPr>
            <w:tcW w:w="784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HU-01 (falta el ingreso con Google)</w:t>
            </w:r>
          </w:p>
        </w:tc>
      </w:tr>
      <w:tr>
        <w:tc>
          <w:tcPr>
            <w:tcW w:w="695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Historias no iniciadas (replanificadas)</w:t>
            </w:r>
          </w:p>
        </w:tc>
        <w:tc>
          <w:tcPr>
            <w:tcW w:w="784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HU-03 → Sprint 4</w:t>
            </w:r>
          </w:p>
        </w:tc>
      </w:tr>
      <w:tr>
        <w:tc>
          <w:tcPr>
            <w:tcW w:w="695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Trabajo adelantado de otros sprints</w:t>
            </w:r>
          </w:p>
        </w:tc>
        <w:tc>
          <w:tcPr>
            <w:tcW w:w="784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Interfaz de HU-05 y HU-06 (checkout); panel del cliente (HU-18); saldo de puntos (HU-11)</w:t>
            </w:r>
          </w:p>
        </w:tc>
      </w:tr>
      <w:tr>
        <w:tc>
          <w:tcPr>
            <w:tcW w:w="695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Ítems técnicos terminados</w:t>
            </w:r>
          </w:p>
        </w:tc>
        <w:tc>
          <w:tcPr>
            <w:tcW w:w="784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SC-02, CFG-04</w:t>
            </w:r>
          </w:p>
        </w:tc>
      </w:tr>
      <w:tr>
        <w:tc>
          <w:tcPr>
            <w:tcW w:w="695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Tamaño del incremento</w:t>
            </w:r>
          </w:p>
        </w:tc>
        <w:tc>
          <w:tcPr>
            <w:tcW w:w="784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5 páginas HTML · 10 hojas CSS · 20 módulos JS · ≈ 4.380 líneas</w:t>
            </w:r>
          </w:p>
        </w:tc>
      </w:tr>
      <w:tr>
        <w:tc>
          <w:tcPr>
            <w:tcW w:w="695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Commits del sprint</w:t>
            </w:r>
          </w:p>
        </w:tc>
        <w:tc>
          <w:tcPr>
            <w:tcW w:w="784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 + 1 merge (rama </w:t>
            </w:r>
            <w:r>
              <w:rPr>
                <w:rStyle w:val="VerbatimChar"/>
                <w:rFonts w:ascii="Arial" w:hAnsi="Arial"/>
                <w:sz w:val="18"/>
              </w:rPr>
              <w:t xml:space="preserve">ivan</w:t>
            </w:r>
            <w:r>
              <w:rPr>
                <w:rFonts w:ascii="Arial" w:hAnsi="Arial"/>
                <w:sz w:val="18"/>
              </w:rPr>
              <w:t xml:space="preserve">)</w:t>
            </w:r>
          </w:p>
        </w:tc>
      </w:tr>
    </w:tbl>
    <w:bookmarkEnd w:id="23"/>
    <w:bookmarkEnd w:id="24"/>
    <w:sectPr>
      <w:footerReference w:type="default" r:id="rId9"/>
      <w:headerReference w:type="default" r:id="rId10"/>
      <w:pgSz w:h="11906" w:w="16838" w:orient="landscape"/>
      <w:pgMar w:bottom="1247" w:left="1020" w:right="1020" w:top="124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F7F7F"/>
        <w:sz w:val="16"/>
      </w:rPr>
      <w:t>Befine Store · Grupo N3 · Plaxi Solutions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Informes_de_Sprint/Informe_Sprint1_Befine_GrupoN3.docx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Informes_de_Sprint/Informe_Sprint1_Befine_GrupoN3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2026-10-09T14:09:03Z</dcterms:created>
  <dcterms:modified xsi:type="dcterms:W3CDTF">2026-10-09T14:09:03Z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