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5646b798f0b969995be38e3c80e59541d3dfab"/>
    <w:p>
      <w:pPr>
        <w:pStyle w:val="Heading1"/>
      </w:pPr>
      <w:r>
        <w:t xml:space="preserve">Arquitectura de la solución — Befine Store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(09-oct-2026, posterior a la SC-02) ·</w:t>
      </w:r>
      <w:r>
        <w:t xml:space="preserve"> </w:t>
      </w:r>
      <w:r>
        <w:rPr>
          <w:bCs/>
          <w:b/>
        </w:rPr>
        <w:t xml:space="preserve">Responsables:</w:t>
      </w:r>
      <w:r>
        <w:t xml:space="preserve"> </w:t>
      </w:r>
      <w:r>
        <w:t xml:space="preserve">Carlos Fuentes (datos/backend) · Felipe Moraga (frontend)</w:t>
      </w:r>
    </w:p>
    <w:bookmarkStart w:id="20" w:name="Xcb0d55fe2d3e372b49d12b379b8034c1c8a961f"/>
    <w:p>
      <w:pPr>
        <w:pStyle w:val="Heading2"/>
      </w:pPr>
      <w:r>
        <w:t xml:space="preserve">1. Estilo arquitectónico</w:t>
      </w:r>
    </w:p>
    <w:p>
      <w:pPr>
        <w:pStyle w:val="FirstParagraph"/>
      </w:pPr>
      <w:r>
        <w:rPr>
          <w:bCs/>
          <w:b/>
        </w:rPr>
        <w:t xml:space="preserve">Cliente web estático + Backend as a Service (BaaS).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sitio</w:t>
      </w:r>
      <w:r>
        <w:t xml:space="preserve"> </w:t>
      </w:r>
      <w:r>
        <w:rPr>
          <w:bCs/>
          <w:b/>
        </w:rPr>
        <w:t xml:space="preserve">multipágina</w:t>
      </w:r>
      <w:r>
        <w:t xml:space="preserve"> </w:t>
      </w:r>
      <w:r>
        <w:t xml:space="preserve">en HTML5, CSS3 y JavaScript</w:t>
      </w:r>
      <w:r>
        <w:t xml:space="preserve"> </w:t>
      </w:r>
      <w:r>
        <w:rPr>
          <w:iCs/>
          <w:i/>
        </w:rPr>
        <w:t xml:space="preserve">vanilla</w:t>
      </w:r>
      <w:r>
        <w:t xml:space="preserve"> </w:t>
      </w:r>
      <w:r>
        <w:t xml:space="preserve">(una página por pantalla),</w:t>
      </w:r>
      <w:r>
        <w:t xml:space="preserve"> </w:t>
      </w:r>
      <w:r>
        <w:rPr>
          <w:bCs/>
          <w:b/>
        </w:rPr>
        <w:t xml:space="preserve">sin herramienta de build</w:t>
      </w:r>
      <w:r>
        <w:t xml:space="preserve">. Se sirve como archivos estáticos (nginx en Docker o hosting estático con HTTPS).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Backend: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= PostgreSQL 15 + Auth + Row Level Security (RLS) + Edge Functions (Deno) + Storage.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Integraciones:</w:t>
      </w:r>
      <w:r>
        <w:t xml:space="preserve"> </w:t>
      </w:r>
      <w:r>
        <w:t xml:space="preserve">Mercado Pago (cobro), OpenFactura/Haulmer (DTE ante el SII), Google Places (reseñas) y WhatsApp (enlace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).</w:t>
      </w:r>
    </w:p>
    <w:p>
      <w:pPr>
        <w:pStyle w:val="FirstParagraph"/>
      </w:pPr>
      <w:r>
        <w:t xml:space="preserve">El navegador consulta Supabase directamente con la</w:t>
      </w:r>
      <w:r>
        <w:t xml:space="preserve"> </w:t>
      </w:r>
      <w:r>
        <w:rPr>
          <w:bCs/>
          <w:b/>
        </w:rPr>
        <w:t xml:space="preserve">clave pública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anon</w:t>
      </w:r>
      <w:r>
        <w:t xml:space="preserve">. La seguridad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depende del frontend: la aplica la base de datos con</w:t>
      </w:r>
      <w:r>
        <w:t xml:space="preserve"> </w:t>
      </w:r>
      <w:r>
        <w:rPr>
          <w:bCs/>
          <w:b/>
        </w:rPr>
        <w:t xml:space="preserve">RLS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funciones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SECURITY DEFINER</w:t>
      </w:r>
      <w:r>
        <w:t xml:space="preserve"> </w:t>
      </w:r>
      <w:r>
        <w:t xml:space="preserve">que validan permisos. Las operaciones con secretos (pagos, DTE, reseñas) viven en</w:t>
      </w:r>
      <w:r>
        <w:t xml:space="preserve"> </w:t>
      </w:r>
      <w:r>
        <w:rPr>
          <w:bCs/>
          <w:b/>
        </w:rPr>
        <w:t xml:space="preserve">Edge Functions</w:t>
      </w:r>
      <w:r>
        <w:t xml:space="preserve">, donde las claves se guardan como</w:t>
      </w:r>
      <w:r>
        <w:t xml:space="preserve"> </w:t>
      </w:r>
      <w:r>
        <w:rPr>
          <w:iCs/>
          <w:i/>
        </w:rPr>
        <w:t xml:space="preserve">secrets</w:t>
      </w:r>
      <w:r>
        <w:t xml:space="preserve">.</w:t>
      </w:r>
    </w:p>
    <w:bookmarkEnd w:id="20"/>
    <w:bookmarkStart w:id="24" w:name="Xdce425fa16508f676e8b7e286e84c537dfc4920"/>
    <w:p>
      <w:pPr>
        <w:pStyle w:val="Heading2"/>
      </w:pPr>
      <w:r>
        <w:t xml:space="preserve">2. Diagrama de componentes</w:t>
      </w:r>
    </w:p>
    <w:p>
      <w:pPr>
        <w:pStyle w:val="FirstParagraph"/>
      </w:pPr>
      <w:r>
        <w:drawing>
          <wp:inline>
            <wp:extent cx="5969000" cy="371261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claude/md2docx/img/Arquitectura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1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* Componentes en construcción (Sprint 3–4) o escritos y pendientes de aplicar.</w:t>
      </w:r>
    </w:p>
    <w:bookmarkEnd w:id="24"/>
    <w:bookmarkStart w:id="25" w:name="X064503e1485200836db2165f042b7cb41ddb8ef"/>
    <w:p>
      <w:pPr>
        <w:pStyle w:val="Heading2"/>
      </w:pPr>
      <w:r>
        <w:t xml:space="preserve">3. Capas del frontend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070"/>
        <w:gridCol w:w="3601"/>
        <w:gridCol w:w="4740"/>
      </w:tblGrid>
      <w:tr>
        <w:trPr>
          <w:tblHeader w:val="true"/>
        </w:trPr>
        <w:tc>
          <w:tcPr>
            <w:tcW w:w="107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Capa</w:t>
            </w:r>
          </w:p>
        </w:tc>
        <w:tc>
          <w:tcPr>
            <w:tcW w:w="360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Archivos</w:t>
            </w:r>
          </w:p>
        </w:tc>
        <w:tc>
          <w:tcPr>
            <w:tcW w:w="474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Responsabilidad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Presentación</w:t>
            </w:r>
          </w:p>
        </w:tc>
        <w:tc>
          <w:tcPr>
            <w:tcW w:w="360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*.html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css/tokens.css → base.css → components.css → shell.css → &lt;página&gt;.css</w:t>
            </w:r>
          </w:p>
        </w:tc>
        <w:tc>
          <w:tcPr>
            <w:tcW w:w="47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Estructura semántica y estilos por capas; la marca se cambia solo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tokens.css</w:t>
            </w:r>
          </w:p>
        </w:tc>
      </w:tr>
      <w:tr>
        <w:tc>
          <w:tcPr>
            <w:tcW w:w="10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Interacción</w:t>
            </w:r>
          </w:p>
        </w:tc>
        <w:tc>
          <w:tcPr>
            <w:tcW w:w="36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shell.js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ui.js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fx.js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water.js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bands.js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scenes.js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transitions.js</w:t>
            </w:r>
          </w:p>
        </w:tc>
        <w:tc>
          <w:tcPr>
            <w:tcW w:w="474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Navbar/footer compartidos, carrito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drawer</w:t>
            </w:r>
            <w:r>
              <w:rPr>
                <w:rFonts w:ascii="Arial" w:hAnsi="Arial"/>
                <w:sz w:val="18"/>
              </w:rPr>
              <w:t xml:space="preserve">, efectos (agua reactiva, escenas por horario)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Lógica de página</w:t>
            </w:r>
          </w:p>
        </w:tc>
        <w:tc>
          <w:tcPr>
            <w:tcW w:w="360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home.js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catalogo.js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producto.js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checkout.js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cuenta.js</w:t>
            </w:r>
          </w:p>
        </w:tc>
        <w:tc>
          <w:tcPr>
            <w:tcW w:w="47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Orquesta cada pantalla</w:t>
            </w:r>
          </w:p>
        </w:tc>
      </w:tr>
      <w:tr>
        <w:tc>
          <w:tcPr>
            <w:tcW w:w="10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Utilidades</w:t>
            </w:r>
          </w:p>
        </w:tc>
        <w:tc>
          <w:tcPr>
            <w:tcW w:w="36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forms.js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store.js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perf.js</w:t>
            </w:r>
          </w:p>
        </w:tc>
        <w:tc>
          <w:tcPr>
            <w:tcW w:w="474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Validación chilena (RUT, celular), estado del carrito, ajuste de rendimiento según el dispositivo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Acceso a datos</w:t>
            </w:r>
          </w:p>
        </w:tc>
        <w:tc>
          <w:tcPr>
            <w:tcW w:w="360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data.js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</w:t>
            </w:r>
            <w:r>
              <w:rPr>
                <w:rStyle w:val="VerbatimChar"/>
                <w:rFonts w:ascii="Arial" w:hAnsi="Arial"/>
                <w:sz w:val="18"/>
              </w:rPr>
              <w:t xml:space="preserve">window.Befine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  <w:tc>
          <w:tcPr>
            <w:tcW w:w="474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Único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punto que habla con Supabase; la UI nunca consulta tablas directamente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diseño:</w:t>
      </w:r>
      <w:r>
        <w:t xml:space="preserve"> </w:t>
      </w:r>
      <w:r>
        <w:t xml:space="preserve">toda la interfaz depende de</w:t>
      </w:r>
      <w:r>
        <w:t xml:space="preserve"> </w:t>
      </w:r>
      <w:r>
        <w:rPr>
          <w:rStyle w:val="VerbatimChar"/>
        </w:rPr>
        <w:t xml:space="preserve">window.Befine</w:t>
      </w:r>
      <w:r>
        <w:t xml:space="preserve">. Cambiar el origen de un dato (de un arreglo local a Supabase, o de una tabla a una función) no obliga a tocar las pantallas.</w:t>
      </w:r>
    </w:p>
    <w:bookmarkEnd w:id="25"/>
    <w:bookmarkStart w:id="26" w:name="X1f6bf642e24dfae47f8ab13de6edf2678b03042"/>
    <w:p>
      <w:pPr>
        <w:pStyle w:val="Heading2"/>
      </w:pPr>
      <w:r>
        <w:t xml:space="preserve">4. Seguridad por diseño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2821"/>
        <w:gridCol w:w="6590"/>
      </w:tblGrid>
      <w:tr>
        <w:trPr>
          <w:tblHeader w:val="true"/>
        </w:trPr>
        <w:tc>
          <w:tcPr>
            <w:tcW w:w="282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Amenaza</w:t>
            </w:r>
          </w:p>
        </w:tc>
        <w:tc>
          <w:tcPr>
            <w:tcW w:w="659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Control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manipula el precio o el total desde el navegador</w:t>
            </w:r>
          </w:p>
        </w:tc>
        <w:tc>
          <w:tcPr>
            <w:tcW w:w="659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Inserción directa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  <w:r>
              <w:rPr>
                <w:rFonts w:ascii="Arial" w:hAnsi="Arial"/>
                <w:sz w:val="18"/>
              </w:rPr>
              <w:t xml:space="preserve">/</w:t>
            </w:r>
            <w:r>
              <w:rPr>
                <w:rStyle w:val="VerbatimChar"/>
                <w:rFonts w:ascii="Arial" w:hAnsi="Arial"/>
                <w:sz w:val="18"/>
              </w:rPr>
              <w:t xml:space="preserve">detalle_pedido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cerrada</w:t>
            </w:r>
            <w:r>
              <w:rPr>
                <w:rFonts w:ascii="Arial" w:hAnsi="Arial"/>
                <w:sz w:val="18"/>
              </w:rPr>
              <w:t xml:space="preserve">; solo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crea pedidos y recalcula precios, despacho y cupones desde la BD</w:t>
            </w:r>
          </w:p>
        </w:tc>
      </w:tr>
      <w:tr>
        <w:tc>
          <w:tcPr>
            <w:tcW w:w="28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se marca un pago como aprobado o se regala puntos</w:t>
            </w:r>
          </w:p>
        </w:tc>
        <w:tc>
          <w:tcPr>
            <w:tcW w:w="659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pagos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documentos_tributarios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movimientos_puntos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solo se escriben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service_role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(webhook)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usuario se asigna el rol admin</w:t>
            </w:r>
          </w:p>
        </w:tc>
        <w:tc>
          <w:tcPr>
            <w:tcW w:w="659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rol no lo elige el usuario; un trigger bloquea el auto-escalamiento de rol, nivel o puntos</w:t>
            </w:r>
          </w:p>
        </w:tc>
      </w:tr>
      <w:tr>
        <w:tc>
          <w:tcPr>
            <w:tcW w:w="28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chofer ve más de lo necesario</w:t>
            </w:r>
          </w:p>
        </w:tc>
        <w:tc>
          <w:tcPr>
            <w:tcW w:w="659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Permiso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pedidos.ver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/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pedidos.repartir</w:t>
            </w:r>
            <w:r>
              <w:rPr>
                <w:rFonts w:ascii="Arial" w:hAnsi="Arial"/>
                <w:sz w:val="18"/>
              </w:rPr>
              <w:t xml:space="preserve">; política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direcciones_reparto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limitada a los pedidos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Exposición de secretos</w:t>
            </w:r>
          </w:p>
        </w:tc>
        <w:tc>
          <w:tcPr>
            <w:tcW w:w="659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Solo la clave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anon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(pública por diseño) en el código;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service_role</w:t>
            </w:r>
            <w:r>
              <w:rPr>
                <w:rFonts w:ascii="Arial" w:hAnsi="Arial"/>
                <w:sz w:val="18"/>
              </w:rPr>
              <w:t xml:space="preserve">, Mercado Pago, OpenFactura y Google como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secrets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de Edge Functions;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.env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.gitignore</w:t>
            </w:r>
          </w:p>
        </w:tc>
      </w:tr>
      <w:tr>
        <w:tc>
          <w:tcPr>
            <w:tcW w:w="28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XSS</w:t>
            </w:r>
          </w:p>
        </w:tc>
        <w:tc>
          <w:tcPr>
            <w:tcW w:w="659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Toda salida dinámica pasa por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esc()</w:t>
            </w:r>
            <w:r>
              <w:rPr>
                <w:rFonts w:ascii="Arial" w:hAnsi="Arial"/>
                <w:sz w:val="18"/>
              </w:rPr>
              <w:t xml:space="preserve">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textContent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lugar de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innerHTML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para datos del usuario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Redirección abierta</w:t>
            </w:r>
          </w:p>
        </w:tc>
        <w:tc>
          <w:tcPr>
            <w:tcW w:w="6590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cuenta.html?volver=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solo acepta páginas propias (</w:t>
            </w:r>
            <w:r>
              <w:rPr>
                <w:rStyle w:val="VerbatimChar"/>
                <w:rFonts w:ascii="Arial" w:hAnsi="Arial"/>
                <w:sz w:val="18"/>
              </w:rPr>
              <w:t xml:space="preserve">^[\w-]+\.html$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</w:tbl>
    <w:bookmarkEnd w:id="26"/>
    <w:bookmarkStart w:id="30" w:name="Xa7a91d0fba8cf3cd18603eda87a9158f0541adc"/>
    <w:p>
      <w:pPr>
        <w:pStyle w:val="Heading2"/>
      </w:pPr>
      <w:r>
        <w:t xml:space="preserve">5. Despliegue</w:t>
      </w:r>
    </w:p>
    <w:p>
      <w:pPr>
        <w:pStyle w:val="FirstParagraph"/>
      </w:pPr>
      <w:r>
        <w:drawing>
          <wp:inline>
            <wp:extent cx="5969000" cy="153190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claude/md2docx/img/Arquitectura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531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Ambientes:</w:t>
      </w:r>
      <w:r>
        <w:t xml:space="preserve"> </w:t>
      </w:r>
      <w:r>
        <w:t xml:space="preserve">local (Docker o Live Server) → producción (Supabase, plan gratuito por decisión del cliente — SC-04 — + hosting). Las migraciones se aplican en orden y cada una tiene su script de reversa.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Configuración:</w:t>
      </w:r>
      <w:r>
        <w:t xml:space="preserve"> </w:t>
      </w:r>
      <w:r>
        <w:t xml:space="preserve">las variables de cada ambiente se describen en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(nunca se sube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bookmarkEnd w:id="30"/>
    <w:bookmarkStart w:id="31" w:name="Xad762a6314814eea4f91c1f073d039ca5e46d63"/>
    <w:p>
      <w:pPr>
        <w:pStyle w:val="Heading2"/>
      </w:pPr>
      <w:r>
        <w:t xml:space="preserve">6. Decisiones de arquitectura (ADR resumidos)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01"/>
        <w:gridCol w:w="2683"/>
        <w:gridCol w:w="1685"/>
        <w:gridCol w:w="4142"/>
      </w:tblGrid>
      <w:tr>
        <w:trPr>
          <w:tblHeader w:val="true"/>
        </w:trPr>
        <w:tc>
          <w:tcPr>
            <w:tcW w:w="90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68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Decisión</w:t>
            </w:r>
          </w:p>
        </w:tc>
        <w:tc>
          <w:tcPr>
            <w:tcW w:w="168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Alternativas</w:t>
            </w:r>
          </w:p>
        </w:tc>
        <w:tc>
          <w:tcPr>
            <w:tcW w:w="414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Motivo</w:t>
            </w:r>
          </w:p>
        </w:tc>
      </w:tr>
      <w:tr>
        <w:tc>
          <w:tcPr>
            <w:tcW w:w="9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ADR-01</w:t>
            </w:r>
          </w:p>
        </w:tc>
        <w:tc>
          <w:tcPr>
            <w:tcW w:w="26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Supabase como backend</w:t>
            </w:r>
          </w:p>
        </w:tc>
        <w:tc>
          <w:tcPr>
            <w:tcW w:w="168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Backend propio (Node/Express)</w:t>
            </w:r>
          </w:p>
        </w:tc>
        <w:tc>
          <w:tcPr>
            <w:tcW w:w="414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Auth, RLS y API listos; el equipo concentra las 18 semanas en el producto</w:t>
            </w:r>
          </w:p>
        </w:tc>
      </w:tr>
      <w:tr>
        <w:tc>
          <w:tcPr>
            <w:tcW w:w="9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ADR-02</w:t>
            </w:r>
          </w:p>
        </w:tc>
        <w:tc>
          <w:tcPr>
            <w:tcW w:w="26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HTML/CSS/JS en lugar de Flutter Web (SC-02)</w:t>
            </w:r>
          </w:p>
        </w:tc>
        <w:tc>
          <w:tcPr>
            <w:tcW w:w="168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Flutter Web, React</w:t>
            </w:r>
          </w:p>
        </w:tc>
        <w:tc>
          <w:tcPr>
            <w:tcW w:w="414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Carga liviana, SEO y control total de la experiencia; sin curva de Dart</w:t>
            </w:r>
          </w:p>
        </w:tc>
      </w:tr>
      <w:tr>
        <w:tc>
          <w:tcPr>
            <w:tcW w:w="9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ADR-03</w:t>
            </w:r>
          </w:p>
        </w:tc>
        <w:tc>
          <w:tcPr>
            <w:tcW w:w="26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Sin bundler (sin Vite)</w:t>
            </w:r>
          </w:p>
        </w:tc>
        <w:tc>
          <w:tcPr>
            <w:tcW w:w="168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Vite / Webpack</w:t>
            </w:r>
          </w:p>
        </w:tc>
        <w:tc>
          <w:tcPr>
            <w:tcW w:w="414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Simplicidad para un equipo de 3; se puede incorporar después sin rehacer el código</w:t>
            </w:r>
          </w:p>
        </w:tc>
      </w:tr>
      <w:tr>
        <w:tc>
          <w:tcPr>
            <w:tcW w:w="9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ADR-04</w:t>
            </w:r>
          </w:p>
        </w:tc>
        <w:tc>
          <w:tcPr>
            <w:tcW w:w="26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Lógica de dinero en el servidor (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confirmar_pago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  <w:tc>
          <w:tcPr>
            <w:tcW w:w="168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Calcular en el navegador</w:t>
            </w:r>
          </w:p>
        </w:tc>
        <w:tc>
          <w:tcPr>
            <w:tcW w:w="414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navegador no es confiable para precios, pagos ni puntos</w:t>
            </w:r>
          </w:p>
        </w:tc>
      </w:tr>
      <w:tr>
        <w:tc>
          <w:tcPr>
            <w:tcW w:w="9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ADR-05</w:t>
            </w:r>
          </w:p>
        </w:tc>
        <w:tc>
          <w:tcPr>
            <w:tcW w:w="26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Roles y permisos en tablas (RBAC configurable)</w:t>
            </w:r>
          </w:p>
        </w:tc>
        <w:tc>
          <w:tcPr>
            <w:tcW w:w="1685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enum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fijo de roles</w:t>
            </w:r>
          </w:p>
        </w:tc>
        <w:tc>
          <w:tcPr>
            <w:tcW w:w="414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dueño puede crear roles nuevos sin cambiar el código</w:t>
            </w:r>
          </w:p>
        </w:tc>
      </w:tr>
      <w:tr>
        <w:tc>
          <w:tcPr>
            <w:tcW w:w="9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ADR-06</w:t>
            </w:r>
          </w:p>
        </w:tc>
        <w:tc>
          <w:tcPr>
            <w:tcW w:w="26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Avisos por enlace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wa.me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el MVP</w:t>
            </w:r>
          </w:p>
        </w:tc>
        <w:tc>
          <w:tcPr>
            <w:tcW w:w="168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API WhatsApp Business</w:t>
            </w:r>
          </w:p>
        </w:tc>
        <w:tc>
          <w:tcPr>
            <w:tcW w:w="414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 API exige verificación de Meta y plantillas aprobadas; queda como trabajo futuro</w:t>
            </w:r>
          </w:p>
        </w:tc>
      </w:tr>
    </w:tbl>
    <w:bookmarkEnd w:id="31"/>
    <w:bookmarkEnd w:id="32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image" Target="media/rId27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2026-10-09T14:09:04Z</dcterms:created>
  <dcterms:modified xsi:type="dcterms:W3CDTF">2026-10-09T14:09:04Z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