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3672" w14:textId="77777777" w:rsidR="003E0A4C" w:rsidRDefault="00103503">
      <w:proofErr w:type="spellStart"/>
      <w:r>
        <w:rPr>
          <w:b/>
          <w:bCs/>
          <w:color w:val="595959"/>
          <w:sz w:val="17"/>
          <w:szCs w:val="17"/>
        </w:rPr>
        <w:t>Plaxi</w:t>
      </w:r>
      <w:proofErr w:type="spellEnd"/>
      <w:r>
        <w:rPr>
          <w:b/>
          <w:bCs/>
          <w:color w:val="595959"/>
          <w:sz w:val="17"/>
          <w:szCs w:val="17"/>
        </w:rPr>
        <w:t xml:space="preserve"> </w:t>
      </w:r>
      <w:proofErr w:type="spellStart"/>
      <w:r>
        <w:rPr>
          <w:b/>
          <w:bCs/>
          <w:color w:val="595959"/>
          <w:sz w:val="17"/>
          <w:szCs w:val="17"/>
        </w:rPr>
        <w:t>Solutions</w:t>
      </w:r>
      <w:proofErr w:type="spellEnd"/>
      <w:r>
        <w:rPr>
          <w:b/>
          <w:bCs/>
          <w:color w:val="595959"/>
          <w:sz w:val="17"/>
          <w:szCs w:val="17"/>
        </w:rPr>
        <w:t xml:space="preserve"> · Plan de Dirección del Proyecto — Befine Store</w:t>
      </w:r>
    </w:p>
    <w:p w14:paraId="777F3673" w14:textId="77777777" w:rsidR="003E0A4C" w:rsidRDefault="003E0A4C">
      <w:pPr>
        <w:pBdr>
          <w:bottom w:val="single" w:sz="8" w:space="0" w:color="1F3864"/>
        </w:pBdr>
        <w:spacing w:after="110"/>
      </w:pPr>
    </w:p>
    <w:p w14:paraId="777F3674" w14:textId="77777777" w:rsidR="003E0A4C" w:rsidRDefault="00103503">
      <w:pPr>
        <w:spacing w:after="30"/>
      </w:pPr>
      <w:r>
        <w:rPr>
          <w:b/>
          <w:bCs/>
          <w:color w:val="1F3864"/>
          <w:sz w:val="32"/>
          <w:szCs w:val="32"/>
        </w:rPr>
        <w:t>Plan de Gestión de Cambios</w:t>
      </w:r>
    </w:p>
    <w:p w14:paraId="777F3675" w14:textId="77777777" w:rsidR="003E0A4C" w:rsidRDefault="00103503">
      <w:pPr>
        <w:spacing w:after="150"/>
      </w:pPr>
      <w:r>
        <w:rPr>
          <w:i/>
          <w:iCs/>
          <w:color w:val="595959"/>
          <w:sz w:val="19"/>
          <w:szCs w:val="19"/>
        </w:rPr>
        <w:t>Documento PLAN 11 — Versión 1.3 · 22 de octubre de 2026</w:t>
      </w:r>
    </w:p>
    <w:p w14:paraId="777F3676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E0A4C" w14:paraId="777F36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7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8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3E0A4C" w14:paraId="777F36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A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3E0A4C" w14:paraId="777F36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D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</w:tr>
      <w:tr w:rsidR="003E0A4C" w14:paraId="777F36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0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1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3E0A4C" w14:paraId="777F36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3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4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3E0A4C" w14:paraId="777F36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6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7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777F3689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600"/>
        <w:gridCol w:w="3760"/>
      </w:tblGrid>
      <w:tr w:rsidR="003E0A4C" w14:paraId="777F3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A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B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C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D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E0A4C" w14:paraId="777F36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F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0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1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2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3E0A4C" w14:paraId="777F36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4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5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6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7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 registran en el Registro de Cambios las solicitudes SC-01 (presupuesto) y SC-02 (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>), ambas aprobadas.</w:t>
            </w:r>
          </w:p>
        </w:tc>
      </w:tr>
      <w:tr w:rsidR="003E0A4C" w14:paraId="777F36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9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A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de octubre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C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Se registran en el Registro de Cambios las solicitudes SC-03 (seguridad de pedidos y roles) y SC-04 (plan gratuito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>, por decisión del cliente), ambas aprobadas.</w:t>
            </w:r>
          </w:p>
        </w:tc>
      </w:tr>
      <w:tr w:rsidR="003E0A4C" w14:paraId="777F36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9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1.3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A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22 de octubre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C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 registra en el Registro de Cambios el cambio menor CM-01 (reglas de cupones, RF-20 / HU-20), aprobado por el líder de sprint según la sección 5.</w:t>
            </w:r>
            <w:proofErr w:type="spellStart"/>
            <w:proofErr w:type="spellEnd"/>
          </w:p>
        </w:tc>
      </w:tr>
    </w:tbl>
    <w:p w14:paraId="777F369E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Aprobaciones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86074D" w14:paraId="2C6E0F64" w14:textId="77777777" w:rsidTr="0048485E"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D18522" w14:textId="77777777" w:rsidR="0086074D" w:rsidRDefault="0086074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ED1E2E" w14:textId="77777777" w:rsidR="0086074D" w:rsidRDefault="0086074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AB805D" w14:textId="77777777" w:rsidR="0086074D" w:rsidRDefault="0086074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68255B" w14:textId="77777777" w:rsidR="0086074D" w:rsidRDefault="0086074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86074D" w14:paraId="49FA9CDA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514892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59C953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8D6F83" w14:textId="77777777" w:rsidR="0086074D" w:rsidRDefault="0086074D" w:rsidP="0048485E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5C9C07B" wp14:editId="7DB49D24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-203835</wp:posOffset>
                  </wp:positionV>
                  <wp:extent cx="438785" cy="525896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FBBFD1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86074D" w14:paraId="5A1C0A3D" w14:textId="77777777" w:rsidTr="0048485E"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602EA3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E9FC15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787571" w14:textId="77777777" w:rsidR="0086074D" w:rsidRDefault="0086074D" w:rsidP="0048485E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CD67A7E" wp14:editId="5B260A3D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-218440</wp:posOffset>
                  </wp:positionV>
                  <wp:extent cx="746760" cy="595663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3E3249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86074D" w14:paraId="59964B0B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19956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241D2F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805C9B" w14:textId="77777777" w:rsidR="0086074D" w:rsidRDefault="0086074D" w:rsidP="0048485E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D63B786" wp14:editId="55848910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-149860</wp:posOffset>
                  </wp:positionV>
                  <wp:extent cx="741612" cy="431824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12" cy="43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D850E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</w:tbl>
    <w:p w14:paraId="777F36B3" w14:textId="77777777" w:rsidR="003E0A4C" w:rsidRDefault="00103503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Cambios</w:t>
      </w:r>
    </w:p>
    <w:p w14:paraId="777F36B4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</w:t>
      </w:r>
    </w:p>
    <w:p w14:paraId="777F36B5" w14:textId="77777777" w:rsidR="003E0A4C" w:rsidRDefault="00103503">
      <w:pPr>
        <w:spacing w:after="120" w:line="274" w:lineRule="auto"/>
      </w:pPr>
      <w:r>
        <w:t>Este plan define el proceso formal para solicitar, evaluar, aprobar o rechazar, e implementar cambios a las líneas base del proyecto Befine Store (alcance, cronograma, costo y calidad). Es el mecanismo principal de control frente al riesgo de mayor probabilidad del proyecto: la ampliación de alcance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) que surge cuando el negocio real solicita funciones adicionales durante la ejecución.</w:t>
      </w:r>
    </w:p>
    <w:p w14:paraId="777F36B6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lastRenderedPageBreak/>
        <w:t>2. Comité de Control de Cambios (CCB)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E0A4C" w14:paraId="777F3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7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 del CCB</w:t>
            </w:r>
          </w:p>
        </w:tc>
        <w:tc>
          <w:tcPr>
            <w:tcW w:w="61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8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en el comité</w:t>
            </w:r>
          </w:p>
        </w:tc>
      </w:tr>
      <w:tr w:rsidR="003E0A4C" w14:paraId="777F36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A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Autoridad final de aprobación — decide cambios que afecten alcance, cronograma o presupuesto.</w:t>
            </w:r>
          </w:p>
        </w:tc>
      </w:tr>
      <w:tr w:rsidR="003E0A4C" w14:paraId="777F36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D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Evalúa factibilidad técnica y de datos del cambio propuesto.</w:t>
            </w:r>
          </w:p>
        </w:tc>
      </w:tr>
      <w:tr w:rsidR="003E0A4C" w14:paraId="777F36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C0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C1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Evalúa impacto del cambio en la interfaz / experiencia de usuario.</w:t>
            </w:r>
          </w:p>
        </w:tc>
      </w:tr>
      <w:tr w:rsidR="003E0A4C" w14:paraId="777F36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C3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 (consulta)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C4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 consulta cuando el cambio afecta el compromiso académico del Proyecto APT.</w:t>
            </w:r>
          </w:p>
        </w:tc>
      </w:tr>
    </w:tbl>
    <w:p w14:paraId="777F36C6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Proceso de control de cambios</w:t>
      </w:r>
    </w:p>
    <w:p w14:paraId="777F36C7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Identificación: cualquier integrante o el patrocinador registra la necesidad de cambio en el formato de Solicitud de Cambio (anexo).</w:t>
      </w:r>
    </w:p>
    <w:p w14:paraId="777F36C8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Evaluación de impacto: el equipo evalúa el impacto en alcance, cronograma (plazo fijo de 18 semanas), costo y calidad, además de implicaciones de recursos, interesados, documentación y riesgos.</w:t>
      </w:r>
    </w:p>
    <w:p w14:paraId="777F36C9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Decisión del CCB: aprueba, rechaza o difiere. Un cambio que comprometa un hito clave (</w:t>
      </w:r>
      <w:proofErr w:type="spellStart"/>
      <w:r>
        <w:t>Go</w:t>
      </w:r>
      <w:proofErr w:type="spellEnd"/>
      <w:r>
        <w:t>-Live 21-nov o entrega final 12-dic) debe indicar qué se retira del alcance para compensarlo.</w:t>
      </w:r>
    </w:p>
    <w:p w14:paraId="777F36CA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Actualización de líneas base: si se aprueba, se actualiza el backlog (GitHub </w:t>
      </w:r>
      <w:proofErr w:type="spellStart"/>
      <w:r>
        <w:t>Projects</w:t>
      </w:r>
      <w:proofErr w:type="spellEnd"/>
      <w:r>
        <w:t>), la EDT y, si corresponde, el presupuesto y el registro de riesgos.</w:t>
      </w:r>
    </w:p>
    <w:p w14:paraId="777F36CB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Comunicación: la decisión se comunica al equipo y, si es significativa, al docente guía; se registra en el registro de cambios.</w:t>
      </w:r>
    </w:p>
    <w:p w14:paraId="777F36CC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Formato de Solicitud de Cambio</w:t>
      </w:r>
    </w:p>
    <w:p w14:paraId="777F36CD" w14:textId="77777777" w:rsidR="003E0A4C" w:rsidRDefault="00103503">
      <w:pPr>
        <w:spacing w:after="120" w:line="274" w:lineRule="auto"/>
      </w:pPr>
      <w:r>
        <w:t>Toda solicitud usa el formato oficial (entregado como Anexo — Formato de Solicitud de Cambio), que incluye: datos de la solicitud (</w:t>
      </w:r>
      <w:proofErr w:type="spellStart"/>
      <w:r>
        <w:t>Nº</w:t>
      </w:r>
      <w:proofErr w:type="spellEnd"/>
      <w:r>
        <w:t>, solicitante, área, patrocinador, gerente), categoría del cambio, causa/origen, descripción y justificación, impacto en la línea base (alcance, cronograma, costo, calidad), implicaciones de recursos, de interesados y de documentación, riesgos, aprobación y firmas del comité.</w:t>
      </w:r>
    </w:p>
    <w:p w14:paraId="777F36CE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Criterios de evaluación</w:t>
      </w:r>
    </w:p>
    <w:p w14:paraId="777F36CF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Todo cambio que amplíe el alcance debe indicar explícitamente qué elemento del backlog se retira o posterga, dado que el plazo del semestre 2026-2 no admite extensión.</w:t>
      </w:r>
    </w:p>
    <w:p w14:paraId="777F36D0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Cambios menores que no afecten hitos ni presupuesto (p. ej. un texto, una regla de descuento) puede aprobarlos el líder de sprint vigente sin convocar al CCB completo.</w:t>
      </w:r>
    </w:p>
    <w:p w14:paraId="777F36D1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Cambios que afecten el presupuesto de herramientas (nuevo servicio pago) requieren aprobación de Iván Rodríguez, por ser quien contrata a nombre de Befine.</w:t>
      </w:r>
    </w:p>
    <w:p w14:paraId="777F36D2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Registro de cambios</w:t>
      </w:r>
    </w:p>
    <w:p w14:paraId="777F36D3" w14:textId="77777777" w:rsidR="003E0A4C" w:rsidRDefault="00103503">
      <w:pPr>
        <w:spacing w:after="120" w:line="274" w:lineRule="auto"/>
      </w:pPr>
      <w:r>
        <w:t>Todas las solicitudes, aprobadas o rechazadas, se registran de forma consecutiva para mantener trazabilidad frente al alcance original del Acta de Constitución: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60"/>
        <w:gridCol w:w="1900"/>
        <w:gridCol w:w="1000"/>
        <w:gridCol w:w="900"/>
      </w:tblGrid>
      <w:tr w:rsidR="003E0A4C" w14:paraId="777F3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4" w14:textId="77777777" w:rsidR="003E0A4C" w:rsidRDefault="00103503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  <w:proofErr w:type="spellEnd"/>
          </w:p>
        </w:tc>
        <w:tc>
          <w:tcPr>
            <w:tcW w:w="4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5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6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7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8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3E0A4C" w14:paraId="777F36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A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SC-01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Reemplaza la restricción de “solo herramientas gratuitas” por infraestructura y servicios pagos </w:t>
            </w:r>
            <w:r>
              <w:rPr>
                <w:color w:val="000000"/>
                <w:sz w:val="19"/>
                <w:szCs w:val="19"/>
              </w:rPr>
              <w:lastRenderedPageBreak/>
              <w:t>financiados por el cliente (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Pro,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, certificado digital SII); línea base de costo $824.125 CLP anuales.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C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Carlos Fuentes / Grupo N3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D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14-09-2026</w:t>
            </w:r>
          </w:p>
        </w:tc>
      </w:tr>
      <w:tr w:rsidR="003E0A4C" w14:paraId="777F36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0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SC-02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1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Cambio de 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Flutter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HTML/CSS/JS (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sin cambios); la app móvil nativa pasa a fuera de alcance (cobertura móvil vía web responsiva/PWA).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2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 / Grupo N3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3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4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22-09-2026</w:t>
            </w:r>
          </w:p>
        </w:tc>
      </w:tr>
      <w:tr w:rsidR="003E0A4C" w14:paraId="777F36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6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SC-03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7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Corrección de seguridad de pedidos (montos calculados en el servidor con </w:t>
            </w:r>
            <w:proofErr w:type="spellStart"/>
            <w:r>
              <w:rPr>
                <w:color w:val="000000"/>
                <w:sz w:val="19"/>
                <w:szCs w:val="19"/>
              </w:rPr>
              <w:t>crear_pedido</w:t>
            </w:r>
            <w:proofErr w:type="spellEnd"/>
            <w:r>
              <w:rPr>
                <w:color w:val="000000"/>
                <w:sz w:val="19"/>
                <w:szCs w:val="19"/>
              </w:rPr>
              <w:t>()) y modelo de roles configurable (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>, chofer y roles nuevos).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8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 / Grupo N3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9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A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09-10-2026</w:t>
            </w:r>
          </w:p>
        </w:tc>
      </w:tr>
      <w:tr w:rsidR="003E0A4C" w14:paraId="777F36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C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SC-04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D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Por decisión del cliente,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 utiliza en su plan gratuito: se retira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 del presupuesto (línea base de costo $508.795 CLP/año) y RNF-06 se redefine sin porcentaje de disponibilidad comprometido.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(Patrocinador / Cliente)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F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F0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09-10-2026</w:t>
            </w:r>
          </w:p>
        </w:tc>
      </w:tr>
      <w:tr w:rsidR="003E0A4C" w14:paraId="777F36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C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CM-01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D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Cambio menor (sección 5) dentro de RF-20 / HU-20: reglas de cupones. Cupones de campaña con límite de usos totales y por cliente, y cupón de bienvenida solo para la primera compra (exige cuenta; se rechaza si la cuenta, el correo o el teléfono ya registran compras). Implementado con la migración 20261020_04_cupones_reglas, aplicada en producción el 20-10-2026 con prueba en seco y reversa. Sin impacto en hitos ni presupuesto.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 / Grupo N3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F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 (líder de sprint)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F0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20-10-2026</w:t>
            </w:r>
          </w:p>
        </w:tc>
      </w:tr>
    </w:tbl>
    <w:p w14:paraId="777F36F2" w14:textId="77777777" w:rsidR="00103503" w:rsidRDefault="00103503"/>
    <w:sectPr w:rsidR="001035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77436"/>
    <w:multiLevelType w:val="hybridMultilevel"/>
    <w:tmpl w:val="17AECFD2"/>
    <w:lvl w:ilvl="0" w:tplc="2EFCC69C">
      <w:start w:val="1"/>
      <w:numFmt w:val="bullet"/>
      <w:lvlText w:val="●"/>
      <w:lvlJc w:val="left"/>
      <w:pPr>
        <w:ind w:left="720" w:hanging="360"/>
      </w:pPr>
    </w:lvl>
    <w:lvl w:ilvl="1" w:tplc="02443ADC">
      <w:start w:val="1"/>
      <w:numFmt w:val="bullet"/>
      <w:lvlText w:val="○"/>
      <w:lvlJc w:val="left"/>
      <w:pPr>
        <w:ind w:left="1440" w:hanging="360"/>
      </w:pPr>
    </w:lvl>
    <w:lvl w:ilvl="2" w:tplc="525AC9FA">
      <w:start w:val="1"/>
      <w:numFmt w:val="bullet"/>
      <w:lvlText w:val="■"/>
      <w:lvlJc w:val="left"/>
      <w:pPr>
        <w:ind w:left="2160" w:hanging="360"/>
      </w:pPr>
    </w:lvl>
    <w:lvl w:ilvl="3" w:tplc="1A601BB2">
      <w:start w:val="1"/>
      <w:numFmt w:val="bullet"/>
      <w:lvlText w:val="●"/>
      <w:lvlJc w:val="left"/>
      <w:pPr>
        <w:ind w:left="2880" w:hanging="360"/>
      </w:pPr>
    </w:lvl>
    <w:lvl w:ilvl="4" w:tplc="BAB68D4C">
      <w:start w:val="1"/>
      <w:numFmt w:val="bullet"/>
      <w:lvlText w:val="○"/>
      <w:lvlJc w:val="left"/>
      <w:pPr>
        <w:ind w:left="3600" w:hanging="360"/>
      </w:pPr>
    </w:lvl>
    <w:lvl w:ilvl="5" w:tplc="44FA9110">
      <w:start w:val="1"/>
      <w:numFmt w:val="bullet"/>
      <w:lvlText w:val="■"/>
      <w:lvlJc w:val="left"/>
      <w:pPr>
        <w:ind w:left="4320" w:hanging="360"/>
      </w:pPr>
    </w:lvl>
    <w:lvl w:ilvl="6" w:tplc="8BD60BD4">
      <w:start w:val="1"/>
      <w:numFmt w:val="bullet"/>
      <w:lvlText w:val="●"/>
      <w:lvlJc w:val="left"/>
      <w:pPr>
        <w:ind w:left="5040" w:hanging="360"/>
      </w:pPr>
    </w:lvl>
    <w:lvl w:ilvl="7" w:tplc="2EAC009A">
      <w:start w:val="1"/>
      <w:numFmt w:val="bullet"/>
      <w:lvlText w:val="●"/>
      <w:lvlJc w:val="left"/>
      <w:pPr>
        <w:ind w:left="5760" w:hanging="360"/>
      </w:pPr>
    </w:lvl>
    <w:lvl w:ilvl="8" w:tplc="63ECE07C">
      <w:start w:val="1"/>
      <w:numFmt w:val="bullet"/>
      <w:lvlText w:val="●"/>
      <w:lvlJc w:val="left"/>
      <w:pPr>
        <w:ind w:left="6480" w:hanging="360"/>
      </w:pPr>
    </w:lvl>
  </w:abstractNum>
  <w:num w:numId="1" w16cid:durableId="1910338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A4C"/>
    <w:rsid w:val="00103503"/>
    <w:rsid w:val="003E0A4C"/>
    <w:rsid w:val="0086074D"/>
    <w:rsid w:val="00C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F3672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817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Cambios</dc:title>
  <dc:creator>Plaxi Solutions</dc:creator>
  <cp:lastModifiedBy>Carlos Fuentes</cp:lastModifiedBy>
  <cp:revision>2</cp:revision>
  <dcterms:created xsi:type="dcterms:W3CDTF">2026-09-23T01:15:00Z</dcterms:created>
  <dcterms:modified xsi:type="dcterms:W3CDTF">2026-10-12T19:19:00Z</dcterms:modified>
</cp:coreProperties>
</file>