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595959"/>
          <w:sz w:val="17"/>
          <w:szCs w:val="17"/>
        </w:rPr>
        <w:t xml:space="preserve">PLAXI SOLUTIONS · PLAN DE DIRECCIÓN DEL PROYECTO — BEFINE STORE</w:t>
      </w:r>
    </w:p>
    <w:p>
      <w:pPr>
        <w:pBdr>
          <w:bottom w:val="single" w:color="1F3864" w:sz="8"/>
        </w:pBdr>
        <w:spacing w:after="120"/>
      </w:pPr>
      <w:r>
        <w:t xml:space="preserve"/>
      </w:r>
    </w:p>
    <w:p>
      <w:pPr>
        <w:spacing w:after="40"/>
      </w:pPr>
      <w:r>
        <w:rPr>
          <w:b/>
          <w:bCs/>
          <w:color w:val="1F3864"/>
          <w:sz w:val="34"/>
          <w:szCs w:val="34"/>
        </w:rPr>
        <w:t xml:space="preserve">Solicitud de Cambio — SC-01</w:t>
      </w:r>
    </w:p>
    <w:p>
      <w:pPr>
        <w:spacing w:after="100" w:line="272"/>
      </w:pPr>
      <w:r>
        <w:rPr>
          <w:i/>
          <w:iCs/>
          <w:color w:val="595959"/>
          <w:sz w:val="19"/>
          <w:szCs w:val="19"/>
        </w:rPr>
        <w:t xml:space="preserve">Formato oficial para solicitar, evaluar y aprobar cambios a las líneas base del proyecto Befine Store. Se registra en el Registro de Cambios del Plan de Gestión de Cambios.</w:t>
      </w:r>
    </w:p>
    <w:p>
      <w:pPr>
        <w:spacing w:after="50" w:before="170"/>
      </w:pPr>
      <w:r>
        <w:rPr>
          <w:b/>
          <w:bCs/>
          <w:color w:val="1F3864"/>
          <w:sz w:val="22"/>
          <w:szCs w:val="22"/>
        </w:rPr>
        <w:t xml:space="preserve">Datos de la solicitud de cambio</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000"/>
        <w:gridCol w:w="6360"/>
      </w:tblGrid>
      <w:tr>
        <w:tc>
          <w:tcPr>
            <w:tcW w:type="dxa" w:w="3000"/>
            <w:shd w:fill="DDE3F0" w:color="auto" w:val="clear"/>
            <w:tcMar>
              <w:top w:type="dxa" w:w="70"/>
              <w:left w:type="dxa" w:w="110"/>
              <w:bottom w:type="dxa" w:w="70"/>
              <w:right w:type="dxa" w:w="110"/>
            </w:tcMar>
          </w:tcPr>
          <w:p>
            <w:pPr>
              <w:spacing w:after="0" w:line="264"/>
            </w:pPr>
            <w:r>
              <w:rPr>
                <w:b/>
                <w:bCs/>
                <w:color w:val="000000"/>
                <w:sz w:val="20"/>
                <w:szCs w:val="20"/>
              </w:rPr>
              <w:t xml:space="preserve">Nro. control de solicitud de cambio</w:t>
            </w:r>
          </w:p>
        </w:tc>
        <w:tc>
          <w:tcPr>
            <w:tcW w:type="dxa" w:w="6360"/>
            <w:shd w:fill="FFFFFF" w:color="auto" w:val="clear"/>
            <w:tcMar>
              <w:top w:type="dxa" w:w="70"/>
              <w:left w:type="dxa" w:w="110"/>
              <w:bottom w:type="dxa" w:w="70"/>
              <w:right w:type="dxa" w:w="110"/>
            </w:tcMar>
          </w:tcPr>
          <w:p>
            <w:pPr>
              <w:spacing w:after="0" w:line="264"/>
            </w:pPr>
            <w:r>
              <w:rPr>
                <w:color w:val="000000"/>
                <w:sz w:val="20"/>
                <w:szCs w:val="20"/>
              </w:rPr>
              <w:t xml:space="preserve">SC-01</w:t>
            </w:r>
          </w:p>
        </w:tc>
      </w:tr>
      <w:tr>
        <w:tc>
          <w:tcPr>
            <w:tcW w:type="dxa" w:w="3000"/>
            <w:shd w:fill="DDE3F0" w:color="auto" w:val="clear"/>
            <w:tcMar>
              <w:top w:type="dxa" w:w="70"/>
              <w:left w:type="dxa" w:w="110"/>
              <w:bottom w:type="dxa" w:w="70"/>
              <w:right w:type="dxa" w:w="110"/>
            </w:tcMar>
          </w:tcPr>
          <w:p>
            <w:pPr>
              <w:spacing w:after="0" w:line="264"/>
            </w:pPr>
            <w:r>
              <w:rPr>
                <w:b/>
                <w:bCs/>
                <w:color w:val="000000"/>
                <w:sz w:val="20"/>
                <w:szCs w:val="20"/>
              </w:rPr>
              <w:t xml:space="preserve">Solicitante del cambio</w:t>
            </w:r>
          </w:p>
        </w:tc>
        <w:tc>
          <w:tcPr>
            <w:tcW w:type="dxa" w:w="6360"/>
            <w:shd w:fill="F2F5FB" w:color="auto" w:val="clear"/>
            <w:tcMar>
              <w:top w:type="dxa" w:w="70"/>
              <w:left w:type="dxa" w:w="110"/>
              <w:bottom w:type="dxa" w:w="70"/>
              <w:right w:type="dxa" w:w="110"/>
            </w:tcMar>
          </w:tcPr>
          <w:p>
            <w:pPr>
              <w:spacing w:after="0" w:line="264"/>
            </w:pPr>
            <w:r>
              <w:rPr>
                <w:color w:val="000000"/>
                <w:sz w:val="20"/>
                <w:szCs w:val="20"/>
              </w:rPr>
              <w:t xml:space="preserve">Carlos Fuentes (Grupo N3 / Plaxi Solutions)</w:t>
            </w:r>
          </w:p>
        </w:tc>
      </w:tr>
      <w:tr>
        <w:tc>
          <w:tcPr>
            <w:tcW w:type="dxa" w:w="3000"/>
            <w:shd w:fill="DDE3F0" w:color="auto" w:val="clear"/>
            <w:tcMar>
              <w:top w:type="dxa" w:w="70"/>
              <w:left w:type="dxa" w:w="110"/>
              <w:bottom w:type="dxa" w:w="70"/>
              <w:right w:type="dxa" w:w="110"/>
            </w:tcMar>
          </w:tcPr>
          <w:p>
            <w:pPr>
              <w:spacing w:after="0" w:line="264"/>
            </w:pPr>
            <w:r>
              <w:rPr>
                <w:b/>
                <w:bCs/>
                <w:color w:val="000000"/>
                <w:sz w:val="20"/>
                <w:szCs w:val="20"/>
              </w:rPr>
              <w:t xml:space="preserve">Área del solicitante</w:t>
            </w:r>
          </w:p>
        </w:tc>
        <w:tc>
          <w:tcPr>
            <w:tcW w:type="dxa" w:w="6360"/>
            <w:shd w:fill="FFFFFF" w:color="auto" w:val="clear"/>
            <w:tcMar>
              <w:top w:type="dxa" w:w="70"/>
              <w:left w:type="dxa" w:w="110"/>
              <w:bottom w:type="dxa" w:w="70"/>
              <w:right w:type="dxa" w:w="110"/>
            </w:tcMar>
          </w:tcPr>
          <w:p>
            <w:pPr>
              <w:spacing w:after="0" w:line="264"/>
            </w:pPr>
            <w:r>
              <w:rPr>
                <w:color w:val="000000"/>
                <w:sz w:val="20"/>
                <w:szCs w:val="20"/>
              </w:rPr>
              <w:t xml:space="preserve">Gestión de proyectos — Costos y Adquisiciones</w:t>
            </w:r>
          </w:p>
        </w:tc>
      </w:tr>
      <w:tr>
        <w:tc>
          <w:tcPr>
            <w:tcW w:type="dxa" w:w="3000"/>
            <w:shd w:fill="DDE3F0" w:color="auto" w:val="clear"/>
            <w:tcMar>
              <w:top w:type="dxa" w:w="70"/>
              <w:left w:type="dxa" w:w="110"/>
              <w:bottom w:type="dxa" w:w="70"/>
              <w:right w:type="dxa" w:w="110"/>
            </w:tcMar>
          </w:tcPr>
          <w:p>
            <w:pPr>
              <w:spacing w:after="0" w:line="264"/>
            </w:pPr>
            <w:r>
              <w:rPr>
                <w:b/>
                <w:bCs/>
                <w:color w:val="000000"/>
                <w:sz w:val="20"/>
                <w:szCs w:val="20"/>
              </w:rPr>
              <w:t xml:space="preserve">Lugar</w:t>
            </w:r>
          </w:p>
        </w:tc>
        <w:tc>
          <w:tcPr>
            <w:tcW w:type="dxa" w:w="6360"/>
            <w:shd w:fill="F2F5FB" w:color="auto" w:val="clear"/>
            <w:tcMar>
              <w:top w:type="dxa" w:w="70"/>
              <w:left w:type="dxa" w:w="110"/>
              <w:bottom w:type="dxa" w:w="70"/>
              <w:right w:type="dxa" w:w="110"/>
            </w:tcMar>
          </w:tcPr>
          <w:p>
            <w:pPr>
              <w:spacing w:after="0" w:line="264"/>
            </w:pPr>
            <w:r>
              <w:rPr>
                <w:color w:val="000000"/>
                <w:sz w:val="20"/>
                <w:szCs w:val="20"/>
              </w:rPr>
              <w:t xml:space="preserve">Santiago, Chile</w:t>
            </w:r>
          </w:p>
        </w:tc>
      </w:tr>
      <w:tr>
        <w:tc>
          <w:tcPr>
            <w:tcW w:type="dxa" w:w="3000"/>
            <w:shd w:fill="DDE3F0" w:color="auto" w:val="clear"/>
            <w:tcMar>
              <w:top w:type="dxa" w:w="70"/>
              <w:left w:type="dxa" w:w="110"/>
              <w:bottom w:type="dxa" w:w="70"/>
              <w:right w:type="dxa" w:w="110"/>
            </w:tcMar>
          </w:tcPr>
          <w:p>
            <w:pPr>
              <w:spacing w:after="0" w:line="264"/>
            </w:pPr>
            <w:r>
              <w:rPr>
                <w:b/>
                <w:bCs/>
                <w:color w:val="000000"/>
                <w:sz w:val="20"/>
                <w:szCs w:val="20"/>
              </w:rPr>
              <w:t xml:space="preserve">Patrocinador del proyecto</w:t>
            </w:r>
          </w:p>
        </w:tc>
        <w:tc>
          <w:tcPr>
            <w:tcW w:type="dxa" w:w="6360"/>
            <w:shd w:fill="FFFFFF" w:color="auto" w:val="clear"/>
            <w:tcMar>
              <w:top w:type="dxa" w:w="70"/>
              <w:left w:type="dxa" w:w="110"/>
              <w:bottom w:type="dxa" w:w="70"/>
              <w:right w:type="dxa" w:w="110"/>
            </w:tcMar>
          </w:tcPr>
          <w:p>
            <w:pPr>
              <w:spacing w:after="0" w:line="264"/>
            </w:pPr>
            <w:r>
              <w:rPr>
                <w:color w:val="000000"/>
                <w:sz w:val="20"/>
                <w:szCs w:val="20"/>
              </w:rPr>
              <w:t xml:space="preserve">Iván Rodríguez</w:t>
            </w:r>
          </w:p>
        </w:tc>
      </w:tr>
      <w:tr>
        <w:tc>
          <w:tcPr>
            <w:tcW w:type="dxa" w:w="3000"/>
            <w:shd w:fill="DDE3F0" w:color="auto" w:val="clear"/>
            <w:tcMar>
              <w:top w:type="dxa" w:w="70"/>
              <w:left w:type="dxa" w:w="110"/>
              <w:bottom w:type="dxa" w:w="70"/>
              <w:right w:type="dxa" w:w="110"/>
            </w:tcMar>
          </w:tcPr>
          <w:p>
            <w:pPr>
              <w:spacing w:after="0" w:line="264"/>
            </w:pPr>
            <w:r>
              <w:rPr>
                <w:b/>
                <w:bCs/>
                <w:color w:val="000000"/>
                <w:sz w:val="20"/>
                <w:szCs w:val="20"/>
              </w:rPr>
              <w:t xml:space="preserve">Gerente del proyecto</w:t>
            </w:r>
          </w:p>
        </w:tc>
        <w:tc>
          <w:tcPr>
            <w:tcW w:type="dxa" w:w="6360"/>
            <w:shd w:fill="F2F5FB" w:color="auto" w:val="clear"/>
            <w:tcMar>
              <w:top w:type="dxa" w:w="70"/>
              <w:left w:type="dxa" w:w="110"/>
              <w:bottom w:type="dxa" w:w="70"/>
              <w:right w:type="dxa" w:w="110"/>
            </w:tcMar>
          </w:tcPr>
          <w:p>
            <w:pPr>
              <w:spacing w:after="0" w:line="264"/>
            </w:pPr>
            <w:r>
              <w:rPr>
                <w:color w:val="000000"/>
                <w:sz w:val="20"/>
                <w:szCs w:val="20"/>
              </w:rPr>
              <w:t xml:space="preserve">Grupo N3 (líder de sprint vigente)</w:t>
            </w:r>
          </w:p>
        </w:tc>
      </w:tr>
      <w:tr>
        <w:tc>
          <w:tcPr>
            <w:tcW w:type="dxa" w:w="3000"/>
            <w:shd w:fill="DDE3F0" w:color="auto" w:val="clear"/>
            <w:tcMar>
              <w:top w:type="dxa" w:w="70"/>
              <w:left w:type="dxa" w:w="110"/>
              <w:bottom w:type="dxa" w:w="70"/>
              <w:right w:type="dxa" w:w="110"/>
            </w:tcMar>
          </w:tcPr>
          <w:p>
            <w:pPr>
              <w:spacing w:after="0" w:line="264"/>
            </w:pPr>
            <w:r>
              <w:rPr>
                <w:b/>
                <w:bCs/>
                <w:color w:val="000000"/>
                <w:sz w:val="20"/>
                <w:szCs w:val="20"/>
              </w:rPr>
              <w:t xml:space="preserve">Fecha</w:t>
            </w:r>
          </w:p>
        </w:tc>
        <w:tc>
          <w:tcPr>
            <w:tcW w:type="dxa" w:w="6360"/>
            <w:shd w:fill="FFFFFF" w:color="auto" w:val="clear"/>
            <w:tcMar>
              <w:top w:type="dxa" w:w="70"/>
              <w:left w:type="dxa" w:w="110"/>
              <w:bottom w:type="dxa" w:w="70"/>
              <w:right w:type="dxa" w:w="110"/>
            </w:tcMar>
          </w:tcPr>
          <w:p>
            <w:pPr>
              <w:spacing w:after="0" w:line="264"/>
            </w:pPr>
            <w:r>
              <w:rPr>
                <w:color w:val="000000"/>
                <w:sz w:val="20"/>
                <w:szCs w:val="20"/>
              </w:rPr>
              <w:t xml:space="preserve">14 / 09 / 2026</w:t>
            </w:r>
          </w:p>
        </w:tc>
      </w:tr>
    </w:tbl>
    <w:p>
      <w:pPr>
        <w:spacing w:after="50" w:before="170"/>
      </w:pPr>
      <w:r>
        <w:rPr>
          <w:b/>
          <w:bCs/>
          <w:color w:val="1F3864"/>
          <w:sz w:val="22"/>
          <w:szCs w:val="22"/>
        </w:rPr>
        <w:t xml:space="preserve">Categoría de cambio</w:t>
      </w:r>
    </w:p>
    <w:p>
      <w:pPr>
        <w:spacing w:after="100" w:line="272"/>
      </w:pPr>
      <w:r>
        <w:rPr>
          <w:sz w:val="22"/>
          <w:szCs w:val="22"/>
        </w:rPr>
        <w:t xml:space="preserve">☐ Alcance    ☒ </w:t>
      </w:r>
      <w:r>
        <w:rPr>
          <w:b/>
          <w:bCs/>
          <w:sz w:val="22"/>
          <w:szCs w:val="22"/>
        </w:rPr>
        <w:t xml:space="preserve">Costo</w:t>
      </w:r>
      <w:r>
        <w:rPr>
          <w:sz w:val="22"/>
          <w:szCs w:val="22"/>
        </w:rPr>
        <w:t xml:space="preserve">    ☐ Cronograma    ☐ Calidad    ☐ Recursos    ☐ Otro</w:t>
      </w:r>
    </w:p>
    <w:p>
      <w:pPr>
        <w:spacing w:after="50" w:before="170"/>
      </w:pPr>
      <w:r>
        <w:rPr>
          <w:b/>
          <w:bCs/>
          <w:color w:val="1F3864"/>
          <w:sz w:val="22"/>
          <w:szCs w:val="22"/>
        </w:rPr>
        <w:t xml:space="preserve">Causa / origen del cambio</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9360"/>
      </w:tblGrid>
      <w:tr>
        <w:tc>
          <w:tcPr>
            <w:tcW w:type="dxa" w:w="9360"/>
            <w:shd w:fill="FFFFFF" w:color="auto" w:val="clear"/>
            <w:tcMar>
              <w:top w:type="dxa" w:w="70"/>
              <w:left w:type="dxa" w:w="110"/>
              <w:bottom w:type="dxa" w:w="70"/>
              <w:right w:type="dxa" w:w="110"/>
            </w:tcMar>
          </w:tcPr>
          <w:p>
            <w:pPr>
              <w:spacing w:after="60" w:line="270"/>
            </w:pPr>
            <w:r>
              <w:rPr>
                <w:sz w:val="20"/>
                <w:szCs w:val="20"/>
              </w:rPr>
              <w:t xml:space="preserve">El Acta de Constitución, en su sección de Restricciones, estableció el uso exclusivo de herramientas de plan gratuito (Flutter, Supabase free tier, GitHub), “ya que no existe presupuesto asignado por Befine para infraestructura paga”.</w:t>
            </w:r>
          </w:p>
          <w:p>
            <w:pPr>
              <w:spacing w:after="60" w:line="270"/>
            </w:pPr>
            <w:r>
              <w:rPr>
                <w:sz w:val="20"/>
                <w:szCs w:val="20"/>
              </w:rPr>
              <w:t xml:space="preserve">Durante la fase de Planificación se determinó que: (1) el plan gratuito de Supabase pausa la base de datos tras una semana de inactividad, comportamiento inaceptable para una tienda en producción; y (2) la emisión de documentos tributarios electrónicos (DTE) exige, por normativa del SII, un proveedor autorizado (OpenFactura/Haulmer) y un certificado digital de firma electrónica, ambos servicios pagos. Estos servicios son indispensables para cumplir los requerimientos RF-07 (pago) y RF-08 (facturación) y los objetivos de calidad del proyecto.</w:t>
            </w:r>
          </w:p>
        </w:tc>
      </w:tr>
    </w:tbl>
    <w:p>
      <w:pPr>
        <w:spacing w:after="50" w:before="170"/>
      </w:pPr>
      <w:r>
        <w:rPr>
          <w:b/>
          <w:bCs/>
          <w:color w:val="1F3864"/>
          <w:sz w:val="22"/>
          <w:szCs w:val="22"/>
        </w:rPr>
        <w:t xml:space="preserve">Descripción de la propuesta de cambio</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9360"/>
      </w:tblGrid>
      <w:tr>
        <w:tc>
          <w:tcPr>
            <w:tcW w:type="dxa" w:w="9360"/>
            <w:shd w:fill="FFFFFF" w:color="auto" w:val="clear"/>
            <w:tcMar>
              <w:top w:type="dxa" w:w="70"/>
              <w:left w:type="dxa" w:w="110"/>
              <w:bottom w:type="dxa" w:w="70"/>
              <w:right w:type="dxa" w:w="110"/>
            </w:tcMar>
          </w:tcPr>
          <w:p>
            <w:pPr>
              <w:spacing w:after="60" w:line="270"/>
            </w:pPr>
            <w:r>
              <w:rPr>
                <w:sz w:val="20"/>
                <w:szCs w:val="20"/>
              </w:rPr>
              <w:t xml:space="preserve">Reemplazar la restricción de “solo herramientas de plan gratuito” por la contratación de los servicios SaaS e infraestructura necesarios para operar la plataforma en producción, financiados por el cliente (Agua Purificada Befine):</w:t>
            </w:r>
          </w:p>
          <w:p>
            <w:pPr>
              <w:spacing w:after="60" w:line="270"/>
            </w:pPr>
            <w:r>
              <w:rPr>
                <w:sz w:val="20"/>
                <w:szCs w:val="20"/>
              </w:rPr>
              <w:t xml:space="preserve">• OpenFactura, plan Pyme (anual): $428.400 CLP (IVA incluido).</w:t>
            </w:r>
          </w:p>
          <w:p>
            <w:pPr>
              <w:spacing w:after="60" w:line="270"/>
            </w:pPr>
            <w:r>
              <w:rPr>
                <w:sz w:val="20"/>
                <w:szCs w:val="20"/>
              </w:rPr>
              <w:t xml:space="preserve">• Certificado digital de firma electrónica SII (vigencia 1 año): $14.030 CLP (IVA incluido).</w:t>
            </w:r>
          </w:p>
          <w:p>
            <w:pPr>
              <w:spacing w:after="60" w:line="270"/>
            </w:pPr>
            <w:r>
              <w:rPr>
                <w:sz w:val="20"/>
                <w:szCs w:val="20"/>
              </w:rPr>
              <w:t xml:space="preserve">• Supabase, plan Pro (US$25/mes × 12): $274.200 CLP referenciales.</w:t>
            </w:r>
          </w:p>
          <w:p>
            <w:pPr>
              <w:spacing w:after="60" w:line="270"/>
            </w:pPr>
            <w:r>
              <w:rPr>
                <w:sz w:val="20"/>
                <w:szCs w:val="20"/>
              </w:rPr>
              <w:t xml:space="preserve">• Subtotal anual: $716.630 CLP. Reserva de contingencia (15%): $107.495 CLP. Total (línea base de costo): $824.125 CLP anuales.</w:t>
            </w:r>
          </w:p>
          <w:p>
            <w:pPr>
              <w:spacing w:after="60" w:line="270"/>
            </w:pPr>
            <w:r>
              <w:rPr>
                <w:sz w:val="20"/>
                <w:szCs w:val="20"/>
              </w:rPr>
              <w:t xml:space="preserve">• Mantención post-entrega: $90.000 CLP/mes (independiente de la línea base de costo del proyecto de título).</w:t>
            </w:r>
          </w:p>
          <w:p>
            <w:pPr>
              <w:spacing w:after="60" w:line="270"/>
            </w:pPr>
            <w:r>
              <w:rPr>
                <w:sz w:val="20"/>
                <w:szCs w:val="20"/>
              </w:rPr>
              <w:t xml:space="preserve">Mercado Pago no tiene costo fijo de integración (cobra comisión por transacción) y no forma parte del presupuesto anual.</w:t>
            </w:r>
          </w:p>
        </w:tc>
      </w:tr>
    </w:tbl>
    <w:p>
      <w:pPr>
        <w:spacing w:after="50" w:before="170"/>
      </w:pPr>
      <w:r>
        <w:rPr>
          <w:b/>
          <w:bCs/>
          <w:color w:val="1F3864"/>
          <w:sz w:val="22"/>
          <w:szCs w:val="22"/>
        </w:rPr>
        <w:t xml:space="preserve">Justificación de la propuesta de cambio</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9360"/>
      </w:tblGrid>
      <w:tr>
        <w:tc>
          <w:tcPr>
            <w:tcW w:type="dxa" w:w="9360"/>
            <w:shd w:fill="FFFFFF" w:color="auto" w:val="clear"/>
            <w:tcMar>
              <w:top w:type="dxa" w:w="70"/>
              <w:left w:type="dxa" w:w="110"/>
              <w:bottom w:type="dxa" w:w="70"/>
              <w:right w:type="dxa" w:w="110"/>
            </w:tcMar>
          </w:tcPr>
          <w:p>
            <w:pPr>
              <w:spacing w:after="60" w:line="270"/>
            </w:pPr>
            <w:r>
              <w:rPr>
                <w:sz w:val="20"/>
                <w:szCs w:val="20"/>
              </w:rPr>
              <w:t xml:space="preserve">Confiabilidad en producción: sin Supabase Pro la plataforma quedaría expuesta a pausas del servicio, incompatible con una tienda en operación y con el objetivo de disponibilidad (RNF-06, 99,9%).</w:t>
            </w:r>
          </w:p>
          <w:p>
            <w:pPr>
              <w:spacing w:after="60" w:line="270"/>
            </w:pPr>
            <w:r>
              <w:rPr>
                <w:sz w:val="20"/>
                <w:szCs w:val="20"/>
              </w:rPr>
              <w:t xml:space="preserve">Cumplimiento legal tributario: la emisión de DTE válidos ante el SII es obligatoria y solo es posible mediante un proveedor autorizado y un certificado digital vigente. Sin este cambio, el MVP no puede cumplir RF-08 ni el criterio de aceptación de facturación.</w:t>
            </w:r>
          </w:p>
          <w:p>
            <w:pPr>
              <w:spacing w:after="60" w:line="270"/>
            </w:pPr>
            <w:r>
              <w:rPr>
                <w:sz w:val="20"/>
                <w:szCs w:val="20"/>
              </w:rPr>
              <w:t xml:space="preserve">El costo es asumido por el cliente, que contrata los servicios a su nombre; el desarrollo sigue sin costo de horas-hombre por corresponder al trabajo de título.</w:t>
            </w:r>
          </w:p>
        </w:tc>
      </w:tr>
    </w:tbl>
    <w:p>
      <w:pPr>
        <w:spacing w:after="50" w:before="170"/>
      </w:pPr>
      <w:r>
        <w:rPr>
          <w:b/>
          <w:bCs/>
          <w:color w:val="1F3864"/>
          <w:sz w:val="22"/>
          <w:szCs w:val="22"/>
        </w:rPr>
        <w:t xml:space="preserve">Impacto del cambio en la línea base</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6760"/>
      </w:tblGrid>
      <w:tr>
        <w:trPr>
          <w:tblHeader/>
        </w:trPr>
        <w:tc>
          <w:tcPr>
            <w:tcW w:type="dxa" w:w="2600"/>
            <w:shd w:fill="1F3864" w:color="auto" w:val="clear"/>
            <w:tcMar>
              <w:top w:type="dxa" w:w="70"/>
              <w:left w:type="dxa" w:w="110"/>
              <w:bottom w:type="dxa" w:w="70"/>
              <w:right w:type="dxa" w:w="110"/>
            </w:tcMar>
          </w:tcPr>
          <w:p>
            <w:pPr>
              <w:spacing w:after="0" w:line="264"/>
            </w:pPr>
            <w:r>
              <w:rPr>
                <w:b/>
                <w:bCs/>
                <w:color w:val="FFFFFF"/>
                <w:sz w:val="20"/>
                <w:szCs w:val="20"/>
              </w:rPr>
              <w:t xml:space="preserve">Línea base</w:t>
            </w:r>
          </w:p>
        </w:tc>
        <w:tc>
          <w:tcPr>
            <w:tcW w:type="dxa" w:w="6760"/>
            <w:shd w:fill="1F3864" w:color="auto" w:val="clear"/>
            <w:tcMar>
              <w:top w:type="dxa" w:w="70"/>
              <w:left w:type="dxa" w:w="110"/>
              <w:bottom w:type="dxa" w:w="70"/>
              <w:right w:type="dxa" w:w="110"/>
            </w:tcMar>
          </w:tcPr>
          <w:p>
            <w:pPr>
              <w:spacing w:after="0" w:line="264"/>
            </w:pPr>
            <w:r>
              <w:rPr>
                <w:b/>
                <w:bCs/>
                <w:color w:val="FFFFFF"/>
                <w:sz w:val="20"/>
                <w:szCs w:val="20"/>
              </w:rPr>
              <w:t xml:space="preserve">Impacto</w:t>
            </w:r>
          </w:p>
        </w:tc>
      </w:tr>
      <w:tr>
        <w:tc>
          <w:tcPr>
            <w:tcW w:type="dxa" w:w="2600"/>
            <w:shd w:fill="FFFFFF" w:color="auto" w:val="clear"/>
            <w:tcMar>
              <w:top w:type="dxa" w:w="70"/>
              <w:left w:type="dxa" w:w="110"/>
              <w:bottom w:type="dxa" w:w="70"/>
              <w:right w:type="dxa" w:w="110"/>
            </w:tcMar>
          </w:tcPr>
          <w:p>
            <w:pPr>
              <w:spacing w:after="0" w:line="264"/>
            </w:pPr>
            <w:r>
              <w:rPr>
                <w:color w:val="000000"/>
                <w:sz w:val="20"/>
                <w:szCs w:val="20"/>
              </w:rPr>
              <w:t xml:space="preserve">Alcance</w:t>
            </w:r>
          </w:p>
        </w:tc>
        <w:tc>
          <w:tcPr>
            <w:tcW w:type="dxa" w:w="6760"/>
            <w:shd w:fill="FFFFFF" w:color="auto" w:val="clear"/>
            <w:tcMar>
              <w:top w:type="dxa" w:w="70"/>
              <w:left w:type="dxa" w:w="110"/>
              <w:bottom w:type="dxa" w:w="70"/>
              <w:right w:type="dxa" w:w="110"/>
            </w:tcMar>
          </w:tcPr>
          <w:p>
            <w:pPr>
              <w:spacing w:after="0" w:line="264"/>
            </w:pPr>
            <w:r>
              <w:rPr>
                <w:color w:val="000000"/>
                <w:sz w:val="20"/>
                <w:szCs w:val="20"/>
              </w:rPr>
              <w:t xml:space="preserve">Sin cambios. El alcance del MVP se mantiene.</w:t>
            </w:r>
          </w:p>
        </w:tc>
      </w:tr>
      <w:tr>
        <w:tc>
          <w:tcPr>
            <w:tcW w:type="dxa" w:w="2600"/>
            <w:shd w:fill="F2F5FB" w:color="auto" w:val="clear"/>
            <w:tcMar>
              <w:top w:type="dxa" w:w="70"/>
              <w:left w:type="dxa" w:w="110"/>
              <w:bottom w:type="dxa" w:w="70"/>
              <w:right w:type="dxa" w:w="110"/>
            </w:tcMar>
          </w:tcPr>
          <w:p>
            <w:pPr>
              <w:spacing w:after="0" w:line="264"/>
            </w:pPr>
            <w:r>
              <w:rPr>
                <w:color w:val="000000"/>
                <w:sz w:val="20"/>
                <w:szCs w:val="20"/>
              </w:rPr>
              <w:t xml:space="preserve">Cronograma</w:t>
            </w:r>
          </w:p>
        </w:tc>
        <w:tc>
          <w:tcPr>
            <w:tcW w:type="dxa" w:w="6760"/>
            <w:shd w:fill="F2F5FB" w:color="auto" w:val="clear"/>
            <w:tcMar>
              <w:top w:type="dxa" w:w="70"/>
              <w:left w:type="dxa" w:w="110"/>
              <w:bottom w:type="dxa" w:w="70"/>
              <w:right w:type="dxa" w:w="110"/>
            </w:tcMar>
          </w:tcPr>
          <w:p>
            <w:pPr>
              <w:spacing w:after="0" w:line="264"/>
            </w:pPr>
            <w:r>
              <w:rPr>
                <w:color w:val="000000"/>
                <w:sz w:val="20"/>
                <w:szCs w:val="20"/>
              </w:rPr>
              <w:t xml:space="preserve">Sin cambios. Se recomienda solicitar credenciales y certificado al inicio para no afectar el cronograma.</w:t>
            </w:r>
          </w:p>
        </w:tc>
      </w:tr>
      <w:tr>
        <w:tc>
          <w:tcPr>
            <w:tcW w:type="dxa" w:w="2600"/>
            <w:shd w:fill="FFFFFF" w:color="auto" w:val="clear"/>
            <w:tcMar>
              <w:top w:type="dxa" w:w="70"/>
              <w:left w:type="dxa" w:w="110"/>
              <w:bottom w:type="dxa" w:w="70"/>
              <w:right w:type="dxa" w:w="110"/>
            </w:tcMar>
          </w:tcPr>
          <w:p>
            <w:pPr>
              <w:spacing w:after="0" w:line="264"/>
            </w:pPr>
            <w:r>
              <w:rPr>
                <w:color w:val="000000"/>
                <w:sz w:val="20"/>
                <w:szCs w:val="20"/>
              </w:rPr>
              <w:t xml:space="preserve">Costo</w:t>
            </w:r>
          </w:p>
        </w:tc>
        <w:tc>
          <w:tcPr>
            <w:tcW w:type="dxa" w:w="6760"/>
            <w:shd w:fill="FFFFFF" w:color="auto" w:val="clear"/>
            <w:tcMar>
              <w:top w:type="dxa" w:w="70"/>
              <w:left w:type="dxa" w:w="110"/>
              <w:bottom w:type="dxa" w:w="70"/>
              <w:right w:type="dxa" w:w="110"/>
            </w:tcMar>
          </w:tcPr>
          <w:p>
            <w:pPr>
              <w:spacing w:after="0" w:line="264"/>
            </w:pPr>
            <w:r>
              <w:rPr>
                <w:color w:val="000000"/>
                <w:sz w:val="20"/>
                <w:szCs w:val="20"/>
              </w:rPr>
              <w:t xml:space="preserve">De $0 en herramientas (Acta original) a $824.125 CLP anuales como línea base de costo, financiados por el cliente. Adicionalmente, mantención de $90.000 CLP/mes post-entrega.</w:t>
            </w:r>
          </w:p>
        </w:tc>
      </w:tr>
      <w:tr>
        <w:tc>
          <w:tcPr>
            <w:tcW w:type="dxa" w:w="2600"/>
            <w:shd w:fill="F2F5FB" w:color="auto" w:val="clear"/>
            <w:tcMar>
              <w:top w:type="dxa" w:w="70"/>
              <w:left w:type="dxa" w:w="110"/>
              <w:bottom w:type="dxa" w:w="70"/>
              <w:right w:type="dxa" w:w="110"/>
            </w:tcMar>
          </w:tcPr>
          <w:p>
            <w:pPr>
              <w:spacing w:after="0" w:line="264"/>
            </w:pPr>
            <w:r>
              <w:rPr>
                <w:color w:val="000000"/>
                <w:sz w:val="20"/>
                <w:szCs w:val="20"/>
              </w:rPr>
              <w:t xml:space="preserve">Calidad</w:t>
            </w:r>
          </w:p>
        </w:tc>
        <w:tc>
          <w:tcPr>
            <w:tcW w:type="dxa" w:w="6760"/>
            <w:shd w:fill="F2F5FB" w:color="auto" w:val="clear"/>
            <w:tcMar>
              <w:top w:type="dxa" w:w="70"/>
              <w:left w:type="dxa" w:w="110"/>
              <w:bottom w:type="dxa" w:w="70"/>
              <w:right w:type="dxa" w:w="110"/>
            </w:tcMar>
          </w:tcPr>
          <w:p>
            <w:pPr>
              <w:spacing w:after="0" w:line="264"/>
            </w:pPr>
            <w:r>
              <w:rPr>
                <w:color w:val="000000"/>
                <w:sz w:val="20"/>
                <w:szCs w:val="20"/>
              </w:rPr>
              <w:t xml:space="preserve">Positivo: habilita la disponibilidad comprometida (RNF-06) y la emisión de DTE (RF-08).</w:t>
            </w:r>
          </w:p>
        </w:tc>
      </w:tr>
    </w:tbl>
    <w:p>
      <w:pPr>
        <w:spacing w:after="50" w:before="170"/>
      </w:pPr>
      <w:r>
        <w:rPr>
          <w:b/>
          <w:bCs/>
          <w:color w:val="1F3864"/>
          <w:sz w:val="22"/>
          <w:szCs w:val="22"/>
        </w:rPr>
        <w:t xml:space="preserve">Implicaciones de recursos (materiales y capital humano)</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9360"/>
      </w:tblGrid>
      <w:tr>
        <w:tc>
          <w:tcPr>
            <w:tcW w:type="dxa" w:w="9360"/>
            <w:shd w:fill="FFFFFF" w:color="auto" w:val="clear"/>
            <w:tcMar>
              <w:top w:type="dxa" w:w="70"/>
              <w:left w:type="dxa" w:w="110"/>
              <w:bottom w:type="dxa" w:w="70"/>
              <w:right w:type="dxa" w:w="110"/>
            </w:tcMar>
          </w:tcPr>
          <w:p>
            <w:pPr>
              <w:spacing w:after="60" w:line="270"/>
            </w:pPr>
            <w:r>
              <w:rPr>
                <w:sz w:val="20"/>
                <w:szCs w:val="20"/>
              </w:rPr>
              <w:t xml:space="preserve">Contratación de tres suscripciones a nombre de Agua Purificada Befine. El patrocinador (Iván Rodríguez) gestiona la contratación y el pago; Carlos Fuentes gestiona la integración técnica. No requiere capital humano adicional.</w:t>
            </w:r>
          </w:p>
        </w:tc>
      </w:tr>
    </w:tbl>
    <w:p>
      <w:pPr>
        <w:spacing w:after="50" w:before="170"/>
      </w:pPr>
      <w:r>
        <w:rPr>
          <w:b/>
          <w:bCs/>
          <w:color w:val="1F3864"/>
          <w:sz w:val="22"/>
          <w:szCs w:val="22"/>
        </w:rPr>
        <w:t xml:space="preserve">Implicaciones para los interesados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9360"/>
      </w:tblGrid>
      <w:tr>
        <w:tc>
          <w:tcPr>
            <w:tcW w:type="dxa" w:w="9360"/>
            <w:shd w:fill="FFFFFF" w:color="auto" w:val="clear"/>
            <w:tcMar>
              <w:top w:type="dxa" w:w="70"/>
              <w:left w:type="dxa" w:w="110"/>
              <w:bottom w:type="dxa" w:w="70"/>
              <w:right w:type="dxa" w:w="110"/>
            </w:tcMar>
          </w:tcPr>
          <w:p>
            <w:pPr>
              <w:spacing w:after="60" w:line="270"/>
            </w:pPr>
            <w:r>
              <w:rPr>
                <w:sz w:val="20"/>
                <w:szCs w:val="20"/>
              </w:rPr>
              <w:t xml:space="preserve">El cliente (Befine) asume un costo recurrente anual conocido y acotado, a cambio de continuidad del servicio y cumplimiento tributario. El equipo obtiene infraestructura estable para el desarrollo y el despliegue.</w:t>
            </w:r>
          </w:p>
        </w:tc>
      </w:tr>
    </w:tbl>
    <w:p>
      <w:pPr>
        <w:spacing w:after="50" w:before="170"/>
      </w:pPr>
      <w:r>
        <w:rPr>
          <w:b/>
          <w:bCs/>
          <w:color w:val="1F3864"/>
          <w:sz w:val="22"/>
          <w:szCs w:val="22"/>
        </w:rPr>
        <w:t xml:space="preserve">Implicaciones en la documentación del proyecto</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9360"/>
      </w:tblGrid>
      <w:tr>
        <w:tc>
          <w:tcPr>
            <w:tcW w:type="dxa" w:w="9360"/>
            <w:shd w:fill="FFFFFF" w:color="auto" w:val="clear"/>
            <w:tcMar>
              <w:top w:type="dxa" w:w="70"/>
              <w:left w:type="dxa" w:w="110"/>
              <w:bottom w:type="dxa" w:w="70"/>
              <w:right w:type="dxa" w:w="110"/>
            </w:tcMar>
          </w:tcPr>
          <w:p>
            <w:pPr>
              <w:spacing w:after="60" w:line="270"/>
            </w:pPr>
            <w:r>
              <w:rPr>
                <w:sz w:val="20"/>
                <w:szCs w:val="20"/>
              </w:rPr>
              <w:t xml:space="preserve">Actualizar la sección Restricciones del Acta de Constitución (o anexar nota que indique que esta SC-01 la reemplaza).</w:t>
            </w:r>
          </w:p>
          <w:p>
            <w:pPr>
              <w:spacing w:after="60" w:line="270"/>
            </w:pPr>
            <w:r>
              <w:rPr>
                <w:sz w:val="20"/>
                <w:szCs w:val="20"/>
              </w:rPr>
              <w:t xml:space="preserve">Confirmar coherencia con el Plan de Gestión de Costos, el Plan de Gestión de Adquisiciones, el Anexo — Presupuesto del Proyecto (Excel) y el Anexo — Matriz de Adquisiciones (Excel).</w:t>
            </w:r>
          </w:p>
        </w:tc>
      </w:tr>
    </w:tbl>
    <w:p>
      <w:pPr>
        <w:spacing w:after="50" w:before="170"/>
      </w:pPr>
      <w:r>
        <w:rPr>
          <w:b/>
          <w:bCs/>
          <w:color w:val="1F3864"/>
          <w:sz w:val="22"/>
          <w:szCs w:val="22"/>
        </w:rPr>
        <w:t xml:space="preserve">Riesgos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9360"/>
      </w:tblGrid>
      <w:tr>
        <w:tc>
          <w:tcPr>
            <w:tcW w:type="dxa" w:w="9360"/>
            <w:shd w:fill="FFFFFF" w:color="auto" w:val="clear"/>
            <w:tcMar>
              <w:top w:type="dxa" w:w="70"/>
              <w:left w:type="dxa" w:w="110"/>
              <w:bottom w:type="dxa" w:w="70"/>
              <w:right w:type="dxa" w:w="110"/>
            </w:tcMar>
          </w:tcPr>
          <w:p>
            <w:pPr>
              <w:spacing w:after="60" w:line="270"/>
            </w:pPr>
            <w:r>
              <w:rPr>
                <w:sz w:val="20"/>
                <w:szCs w:val="20"/>
              </w:rPr>
              <w:t xml:space="preserve">R7 (variación del tipo de cambio USD/CLP que encarece Supabase): cubierto por la reserva de contingencia del 15%.</w:t>
            </w:r>
          </w:p>
          <w:p>
            <w:pPr>
              <w:spacing w:after="60" w:line="270"/>
            </w:pPr>
            <w:r>
              <w:rPr>
                <w:sz w:val="20"/>
                <w:szCs w:val="20"/>
              </w:rPr>
              <w:t xml:space="preserve">Riesgo de no aprobar el cambio: la plataforma no podría operar de forma confiable ni emitir DTE, comprometiendo el Go-Live.</w:t>
            </w:r>
          </w:p>
        </w:tc>
      </w:tr>
    </w:tbl>
    <w:p>
      <w:pPr>
        <w:spacing w:after="50" w:before="170"/>
      </w:pPr>
      <w:r>
        <w:rPr>
          <w:b/>
          <w:bCs/>
          <w:color w:val="1F3864"/>
          <w:sz w:val="22"/>
          <w:szCs w:val="22"/>
        </w:rPr>
        <w:t xml:space="preserve">Comentarios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9360"/>
      </w:tblGrid>
      <w:tr>
        <w:tc>
          <w:tcPr>
            <w:tcW w:type="dxa" w:w="9360"/>
            <w:shd w:fill="FFFFFF" w:color="auto" w:val="clear"/>
            <w:tcMar>
              <w:top w:type="dxa" w:w="70"/>
              <w:left w:type="dxa" w:w="110"/>
              <w:bottom w:type="dxa" w:w="70"/>
              <w:right w:type="dxa" w:w="110"/>
            </w:tcMar>
          </w:tcPr>
          <w:p>
            <w:pPr>
              <w:spacing w:after="60" w:line="270"/>
            </w:pPr>
            <w:r>
              <w:rPr>
                <w:sz w:val="20"/>
                <w:szCs w:val="20"/>
              </w:rPr>
              <w:t xml:space="preserve">Los valores de OpenFactura, certificado digital, Supabase y el tipo de cambio son referenciales y deben validarse con las tarifas vigentes antes de contratar.</w:t>
            </w:r>
          </w:p>
        </w:tc>
      </w:tr>
    </w:tbl>
    <w:p>
      <w:pPr>
        <w:spacing w:after="50" w:before="170"/>
      </w:pPr>
      <w:r>
        <w:rPr>
          <w:b/>
          <w:bCs/>
          <w:color w:val="1F3864"/>
          <w:sz w:val="22"/>
          <w:szCs w:val="22"/>
        </w:rPr>
        <w:t xml:space="preserve">Aprobación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000"/>
        <w:gridCol w:w="6360"/>
      </w:tblGrid>
      <w:tr>
        <w:trPr>
          <w:tblHeader/>
        </w:trPr>
        <w:tc>
          <w:tcPr>
            <w:tcW w:type="dxa" w:w="3000"/>
            <w:shd w:fill="1F3864" w:color="auto" w:val="clear"/>
            <w:tcMar>
              <w:top w:type="dxa" w:w="70"/>
              <w:left w:type="dxa" w:w="110"/>
              <w:bottom w:type="dxa" w:w="70"/>
              <w:right w:type="dxa" w:w="110"/>
            </w:tcMar>
          </w:tcPr>
          <w:p>
            <w:pPr>
              <w:spacing w:after="0" w:line="264"/>
            </w:pPr>
            <w:r>
              <w:rPr>
                <w:b/>
                <w:bCs/>
                <w:color w:val="FFFFFF"/>
                <w:sz w:val="20"/>
                <w:szCs w:val="20"/>
              </w:rPr>
              <w:t xml:space="preserve">Decisión</w:t>
            </w:r>
          </w:p>
        </w:tc>
        <w:tc>
          <w:tcPr>
            <w:tcW w:type="dxa" w:w="6360"/>
            <w:shd w:fill="1F3864" w:color="auto" w:val="clear"/>
            <w:tcMar>
              <w:top w:type="dxa" w:w="70"/>
              <w:left w:type="dxa" w:w="110"/>
              <w:bottom w:type="dxa" w:w="70"/>
              <w:right w:type="dxa" w:w="110"/>
            </w:tcMar>
          </w:tcPr>
          <w:p>
            <w:pPr>
              <w:spacing w:after="0" w:line="264"/>
            </w:pPr>
            <w:r>
              <w:rPr>
                <w:b/>
                <w:bCs/>
                <w:color w:val="FFFFFF"/>
                <w:sz w:val="20"/>
                <w:szCs w:val="20"/>
              </w:rPr>
              <w:t xml:space="preserve">Detalle</w:t>
            </w:r>
          </w:p>
        </w:tc>
      </w:tr>
      <w:tr>
        <w:tc>
          <w:tcPr>
            <w:tcW w:type="dxa" w:w="3000"/>
            <w:shd w:fill="FFFFFF" w:color="auto" w:val="clear"/>
            <w:tcMar>
              <w:top w:type="dxa" w:w="70"/>
              <w:left w:type="dxa" w:w="110"/>
              <w:bottom w:type="dxa" w:w="70"/>
              <w:right w:type="dxa" w:w="110"/>
            </w:tcMar>
          </w:tcPr>
          <w:p>
            <w:pPr>
              <w:spacing w:after="0" w:line="264"/>
            </w:pPr>
            <w:r>
              <w:rPr>
                <w:color w:val="000000"/>
                <w:sz w:val="20"/>
                <w:szCs w:val="20"/>
              </w:rPr>
              <w:t xml:space="preserve">Resultado</w:t>
            </w:r>
          </w:p>
        </w:tc>
        <w:tc>
          <w:tcPr>
            <w:tcW w:type="dxa" w:w="6360"/>
            <w:shd w:fill="FFFFFF" w:color="auto" w:val="clear"/>
            <w:tcMar>
              <w:top w:type="dxa" w:w="70"/>
              <w:left w:type="dxa" w:w="110"/>
              <w:bottom w:type="dxa" w:w="70"/>
              <w:right w:type="dxa" w:w="110"/>
            </w:tcMar>
          </w:tcPr>
          <w:p>
            <w:pPr>
              <w:spacing w:after="0" w:line="264"/>
            </w:pPr>
            <w:r>
              <w:rPr>
                <w:color w:val="000000"/>
                <w:sz w:val="20"/>
                <w:szCs w:val="20"/>
              </w:rPr>
              <w:t xml:space="preserve">☐ Aprobado      ☐ Rechazado      ☐ Diferido</w:t>
            </w:r>
          </w:p>
        </w:tc>
      </w:tr>
      <w:tr>
        <w:tc>
          <w:tcPr>
            <w:tcW w:type="dxa" w:w="3000"/>
            <w:shd w:fill="F2F5FB" w:color="auto" w:val="clear"/>
            <w:tcMar>
              <w:top w:type="dxa" w:w="70"/>
              <w:left w:type="dxa" w:w="110"/>
              <w:bottom w:type="dxa" w:w="70"/>
              <w:right w:type="dxa" w:w="110"/>
            </w:tcMar>
          </w:tcPr>
          <w:p>
            <w:pPr>
              <w:spacing w:after="0" w:line="264"/>
            </w:pPr>
            <w:r>
              <w:rPr>
                <w:color w:val="000000"/>
                <w:sz w:val="20"/>
                <w:szCs w:val="20"/>
              </w:rPr>
              <w:t xml:space="preserve">Justificación de la decisión</w:t>
            </w:r>
          </w:p>
        </w:tc>
        <w:tc>
          <w:tcPr>
            <w:tcW w:type="dxa" w:w="6360"/>
            <w:shd w:fill="F2F5FB" w:color="auto" w:val="clear"/>
            <w:tcMar>
              <w:top w:type="dxa" w:w="70"/>
              <w:left w:type="dxa" w:w="110"/>
              <w:bottom w:type="dxa" w:w="70"/>
              <w:right w:type="dxa" w:w="110"/>
            </w:tcMar>
          </w:tcPr>
          <w:p>
            <w:pPr>
              <w:spacing w:after="0" w:line="264"/>
            </w:pPr>
            <w:r>
              <w:rPr>
                <w:color w:val="000000"/>
                <w:sz w:val="20"/>
                <w:szCs w:val="20"/>
              </w:rPr>
              <w:t xml:space="preserve"/>
            </w:r>
          </w:p>
        </w:tc>
      </w:tr>
      <w:tr>
        <w:tc>
          <w:tcPr>
            <w:tcW w:type="dxa" w:w="3000"/>
            <w:shd w:fill="FFFFFF" w:color="auto" w:val="clear"/>
            <w:tcMar>
              <w:top w:type="dxa" w:w="70"/>
              <w:left w:type="dxa" w:w="110"/>
              <w:bottom w:type="dxa" w:w="70"/>
              <w:right w:type="dxa" w:w="110"/>
            </w:tcMar>
          </w:tcPr>
          <w:p>
            <w:pPr>
              <w:spacing w:after="0" w:line="264"/>
            </w:pPr>
            <w:r>
              <w:rPr>
                <w:color w:val="000000"/>
                <w:sz w:val="20"/>
                <w:szCs w:val="20"/>
              </w:rPr>
              <w:t xml:space="preserve">Responsable de implementar</w:t>
            </w:r>
          </w:p>
        </w:tc>
        <w:tc>
          <w:tcPr>
            <w:tcW w:type="dxa" w:w="6360"/>
            <w:shd w:fill="FFFFFF" w:color="auto" w:val="clear"/>
            <w:tcMar>
              <w:top w:type="dxa" w:w="70"/>
              <w:left w:type="dxa" w:w="110"/>
              <w:bottom w:type="dxa" w:w="70"/>
              <w:right w:type="dxa" w:w="110"/>
            </w:tcMar>
          </w:tcPr>
          <w:p>
            <w:pPr>
              <w:spacing w:after="0" w:line="264"/>
            </w:pPr>
            <w:r>
              <w:rPr>
                <w:color w:val="000000"/>
                <w:sz w:val="20"/>
                <w:szCs w:val="20"/>
              </w:rPr>
              <w:t xml:space="preserve">Iván Rodríguez (contratación) · Carlos Fuentes (integración)</w:t>
            </w:r>
          </w:p>
        </w:tc>
      </w:tr>
    </w:tbl>
    <w:p>
      <w:pPr>
        <w:spacing w:after="50" w:before="170"/>
      </w:pPr>
      <w:r>
        <w:rPr>
          <w:b/>
          <w:bCs/>
          <w:color w:val="1F3864"/>
          <w:sz w:val="22"/>
          <w:szCs w:val="22"/>
        </w:rPr>
        <w:t xml:space="preserve">Firmas del comité de cambios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800"/>
        <w:gridCol w:w="3960"/>
        <w:gridCol w:w="2600"/>
      </w:tblGrid>
      <w:tr>
        <w:trPr>
          <w:tblHeader/>
        </w:trPr>
        <w:tc>
          <w:tcPr>
            <w:tcW w:type="dxa" w:w="2800"/>
            <w:shd w:fill="1F3864" w:color="auto" w:val="clear"/>
            <w:tcMar>
              <w:top w:type="dxa" w:w="70"/>
              <w:left w:type="dxa" w:w="110"/>
              <w:bottom w:type="dxa" w:w="70"/>
              <w:right w:type="dxa" w:w="110"/>
            </w:tcMar>
          </w:tcPr>
          <w:p>
            <w:pPr>
              <w:spacing w:after="0" w:line="264"/>
            </w:pPr>
            <w:r>
              <w:rPr>
                <w:b/>
                <w:bCs/>
                <w:color w:val="FFFFFF"/>
                <w:sz w:val="20"/>
                <w:szCs w:val="20"/>
              </w:rPr>
              <w:t xml:space="preserve">Nombre</w:t>
            </w:r>
          </w:p>
        </w:tc>
        <w:tc>
          <w:tcPr>
            <w:tcW w:type="dxa" w:w="3960"/>
            <w:shd w:fill="1F3864" w:color="auto" w:val="clear"/>
            <w:tcMar>
              <w:top w:type="dxa" w:w="70"/>
              <w:left w:type="dxa" w:w="110"/>
              <w:bottom w:type="dxa" w:w="70"/>
              <w:right w:type="dxa" w:w="110"/>
            </w:tcMar>
          </w:tcPr>
          <w:p>
            <w:pPr>
              <w:spacing w:after="0" w:line="264"/>
            </w:pPr>
            <w:r>
              <w:rPr>
                <w:b/>
                <w:bCs/>
                <w:color w:val="FFFFFF"/>
                <w:sz w:val="20"/>
                <w:szCs w:val="20"/>
              </w:rPr>
              <w:t xml:space="preserve">Rol / Cargo</w:t>
            </w:r>
          </w:p>
        </w:tc>
        <w:tc>
          <w:tcPr>
            <w:tcW w:type="dxa" w:w="2600"/>
            <w:shd w:fill="1F3864" w:color="auto" w:val="clear"/>
            <w:tcMar>
              <w:top w:type="dxa" w:w="70"/>
              <w:left w:type="dxa" w:w="110"/>
              <w:bottom w:type="dxa" w:w="70"/>
              <w:right w:type="dxa" w:w="110"/>
            </w:tcMar>
          </w:tcPr>
          <w:p>
            <w:pPr>
              <w:spacing w:after="0" w:line="264"/>
            </w:pPr>
            <w:r>
              <w:rPr>
                <w:b/>
                <w:bCs/>
                <w:color w:val="FFFFFF"/>
                <w:sz w:val="20"/>
                <w:szCs w:val="20"/>
              </w:rPr>
              <w:t xml:space="preserve">Firma</w:t>
            </w:r>
          </w:p>
        </w:tc>
      </w:tr>
      <w:tr>
        <w:tc>
          <w:tcPr>
            <w:tcW w:type="dxa" w:w="2800"/>
            <w:shd w:fill="FFFFFF" w:color="auto" w:val="clear"/>
            <w:tcMar>
              <w:top w:type="dxa" w:w="70"/>
              <w:left w:type="dxa" w:w="110"/>
              <w:bottom w:type="dxa" w:w="70"/>
              <w:right w:type="dxa" w:w="110"/>
            </w:tcMar>
          </w:tcPr>
          <w:p>
            <w:pPr>
              <w:spacing w:after="0" w:line="264"/>
            </w:pPr>
            <w:r>
              <w:rPr>
                <w:color w:val="000000"/>
                <w:sz w:val="20"/>
                <w:szCs w:val="20"/>
              </w:rPr>
              <w:t xml:space="preserve">Iván Rodríguez</w:t>
            </w:r>
          </w:p>
        </w:tc>
        <w:tc>
          <w:tcPr>
            <w:tcW w:type="dxa" w:w="3960"/>
            <w:shd w:fill="FFFFFF" w:color="auto" w:val="clear"/>
            <w:tcMar>
              <w:top w:type="dxa" w:w="70"/>
              <w:left w:type="dxa" w:w="110"/>
              <w:bottom w:type="dxa" w:w="70"/>
              <w:right w:type="dxa" w:w="110"/>
            </w:tcMar>
          </w:tcPr>
          <w:p>
            <w:pPr>
              <w:spacing w:after="0" w:line="264"/>
            </w:pPr>
            <w:r>
              <w:rPr>
                <w:color w:val="000000"/>
                <w:sz w:val="20"/>
                <w:szCs w:val="20"/>
              </w:rPr>
              <w:t xml:space="preserve">Patrocinador (autoridad final)</w:t>
            </w:r>
          </w:p>
        </w:tc>
        <w:tc>
          <w:tcPr>
            <w:tcW w:type="dxa" w:w="2600"/>
            <w:shd w:fill="FFFFFF" w:color="auto" w:val="clear"/>
            <w:tcMar>
              <w:top w:type="dxa" w:w="70"/>
              <w:left w:type="dxa" w:w="110"/>
              <w:bottom w:type="dxa" w:w="70"/>
              <w:right w:type="dxa" w:w="110"/>
            </w:tcMar>
          </w:tcPr>
          <w:p>
            <w:pPr>
              <w:spacing w:after="0" w:line="264"/>
            </w:pPr>
            <w:r>
              <w:rPr>
                <w:color w:val="000000"/>
                <w:sz w:val="20"/>
                <w:szCs w:val="20"/>
              </w:rPr>
              <w:t xml:space="preserve">________________</w:t>
            </w:r>
          </w:p>
        </w:tc>
      </w:tr>
      <w:tr>
        <w:tc>
          <w:tcPr>
            <w:tcW w:type="dxa" w:w="2800"/>
            <w:shd w:fill="F2F5FB" w:color="auto" w:val="clear"/>
            <w:tcMar>
              <w:top w:type="dxa" w:w="70"/>
              <w:left w:type="dxa" w:w="110"/>
              <w:bottom w:type="dxa" w:w="70"/>
              <w:right w:type="dxa" w:w="110"/>
            </w:tcMar>
          </w:tcPr>
          <w:p>
            <w:pPr>
              <w:spacing w:after="0" w:line="264"/>
            </w:pPr>
            <w:r>
              <w:rPr>
                <w:color w:val="000000"/>
                <w:sz w:val="20"/>
                <w:szCs w:val="20"/>
              </w:rPr>
              <w:t xml:space="preserve">Carlos Fuentes</w:t>
            </w:r>
          </w:p>
        </w:tc>
        <w:tc>
          <w:tcPr>
            <w:tcW w:type="dxa" w:w="3960"/>
            <w:shd w:fill="F2F5FB" w:color="auto" w:val="clear"/>
            <w:tcMar>
              <w:top w:type="dxa" w:w="70"/>
              <w:left w:type="dxa" w:w="110"/>
              <w:bottom w:type="dxa" w:w="70"/>
              <w:right w:type="dxa" w:w="110"/>
            </w:tcMar>
          </w:tcPr>
          <w:p>
            <w:pPr>
              <w:spacing w:after="0" w:line="264"/>
            </w:pPr>
            <w:r>
              <w:rPr>
                <w:color w:val="000000"/>
                <w:sz w:val="20"/>
                <w:szCs w:val="20"/>
              </w:rPr>
              <w:t xml:space="preserve">Factibilidad técnica / datos</w:t>
            </w:r>
          </w:p>
        </w:tc>
        <w:tc>
          <w:tcPr>
            <w:tcW w:type="dxa" w:w="2600"/>
            <w:shd w:fill="F2F5FB" w:color="auto" w:val="clear"/>
            <w:tcMar>
              <w:top w:type="dxa" w:w="70"/>
              <w:left w:type="dxa" w:w="110"/>
              <w:bottom w:type="dxa" w:w="70"/>
              <w:right w:type="dxa" w:w="110"/>
            </w:tcMar>
          </w:tcPr>
          <w:p>
            <w:pPr>
              <w:spacing w:after="0" w:line="264"/>
            </w:pPr>
            <w:r>
              <w:rPr>
                <w:color w:val="000000"/>
                <w:sz w:val="20"/>
                <w:szCs w:val="20"/>
              </w:rPr>
              <w:t xml:space="preserve">________________</w:t>
            </w:r>
          </w:p>
        </w:tc>
      </w:tr>
      <w:tr>
        <w:tc>
          <w:tcPr>
            <w:tcW w:type="dxa" w:w="2800"/>
            <w:shd w:fill="FFFFFF" w:color="auto" w:val="clear"/>
            <w:tcMar>
              <w:top w:type="dxa" w:w="70"/>
              <w:left w:type="dxa" w:w="110"/>
              <w:bottom w:type="dxa" w:w="70"/>
              <w:right w:type="dxa" w:w="110"/>
            </w:tcMar>
          </w:tcPr>
          <w:p>
            <w:pPr>
              <w:spacing w:after="0" w:line="264"/>
            </w:pPr>
            <w:r>
              <w:rPr>
                <w:color w:val="000000"/>
                <w:sz w:val="20"/>
                <w:szCs w:val="20"/>
              </w:rPr>
              <w:t xml:space="preserve">Felipe Moraga</w:t>
            </w:r>
          </w:p>
        </w:tc>
        <w:tc>
          <w:tcPr>
            <w:tcW w:type="dxa" w:w="3960"/>
            <w:shd w:fill="FFFFFF" w:color="auto" w:val="clear"/>
            <w:tcMar>
              <w:top w:type="dxa" w:w="70"/>
              <w:left w:type="dxa" w:w="110"/>
              <w:bottom w:type="dxa" w:w="70"/>
              <w:right w:type="dxa" w:w="110"/>
            </w:tcMar>
          </w:tcPr>
          <w:p>
            <w:pPr>
              <w:spacing w:after="0" w:line="264"/>
            </w:pPr>
            <w:r>
              <w:rPr>
                <w:color w:val="000000"/>
                <w:sz w:val="20"/>
                <w:szCs w:val="20"/>
              </w:rPr>
              <w:t xml:space="preserve">Impacto en interfaz / UX</w:t>
            </w:r>
          </w:p>
        </w:tc>
        <w:tc>
          <w:tcPr>
            <w:tcW w:type="dxa" w:w="2600"/>
            <w:shd w:fill="FFFFFF" w:color="auto" w:val="clear"/>
            <w:tcMar>
              <w:top w:type="dxa" w:w="70"/>
              <w:left w:type="dxa" w:w="110"/>
              <w:bottom w:type="dxa" w:w="70"/>
              <w:right w:type="dxa" w:w="110"/>
            </w:tcMar>
          </w:tcPr>
          <w:p>
            <w:pPr>
              <w:spacing w:after="0" w:line="264"/>
            </w:pPr>
            <w:r>
              <w:rPr>
                <w:color w:val="000000"/>
                <w:sz w:val="20"/>
                <w:szCs w:val="20"/>
              </w:rPr>
              <w:t xml:space="preserve">________________</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SC-01 — Solicitud de Cambio — Befine Store</dc:title>
  <dc:creator>Plaxi Solutions</dc:creator>
  <cp:lastModifiedBy>Un-named</cp:lastModifiedBy>
  <cp:revision>1</cp:revision>
  <dcterms:created xsi:type="dcterms:W3CDTF">2026-09-14T17:12:37.022Z</dcterms:created>
  <dcterms:modified xsi:type="dcterms:W3CDTF">2026-09-14T17:12:37.022Z</dcterms:modified>
</cp:coreProperties>
</file>

<file path=docProps/custom.xml><?xml version="1.0" encoding="utf-8"?>
<Properties xmlns="http://schemas.openxmlformats.org/officeDocument/2006/custom-properties" xmlns:vt="http://schemas.openxmlformats.org/officeDocument/2006/docPropsVTypes"/>
</file>