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江苏慧通管道设备股份有限公司</w:t>
      </w:r>
    </w:p>
    <w:p>
      <w:pPr>
        <w:jc w:val="center"/>
      </w:pPr>
      <w:r>
        <w:t>JiangShu Huitong Pipeline Equipment Co.Ltd</w:t>
      </w:r>
    </w:p>
    <w:p>
      <w:pPr>
        <w:pStyle w:val="Heading1"/>
        <w:jc w:val="center"/>
      </w:pPr>
      <w:r>
        <w:t>恒力吊架性能试验记录</w:t>
      </w:r>
    </w:p>
    <w:p>
      <w:pPr>
        <w:jc w:val="center"/>
      </w:pPr>
      <w: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用户</w:t>
              <w:br/>
              <w:t>Customer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管理员1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规格型号</w:t>
              <w:br/>
              <w:t>Description and type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12345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试验日期</w:t>
              <w:br/>
              <w:t>Test Date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2025-09-04 14:10:15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吊点代号</w:t>
              <w:br/>
              <w:t>Hanger Number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总位移</w:t>
              <w:br/>
              <w:t>Total travel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120.00mm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工作载荷</w:t>
              <w:br/>
              <w:t>Working Load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4800N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出厂编号</w:t>
              <w:br/>
              <w:t>Serial Number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sf-11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位移方向</w:t>
              <w:br/>
              <w:t>Travel direction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上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工作位移</w:t>
              <w:br/>
              <w:t>Working travel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100mm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74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180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操作员</w:t>
              <w:br/>
              <w:t>Operator</w:t>
            </w:r>
          </w:p>
        </w:tc>
        <w:tc>
          <w:tcPr>
            <w:tcW w:type="dxa" w:w="180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刘云佳</w:t>
            </w:r>
          </w:p>
        </w:tc>
        <w:tc>
          <w:tcPr>
            <w:tcW w:type="dxa" w:w="180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实测力值</w:t>
              <w:br/>
              <w:t>Actual load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16"/>
              </w:rPr>
              <w:t>Pmax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16"/>
              </w:rPr>
              <w:t>Pmin</w:t>
            </w:r>
          </w:p>
        </w:tc>
        <w:tc>
          <w:tcPr>
            <w:tcW w:type="dxa" w:w="180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检验员</w:t>
            </w:r>
          </w:p>
        </w:tc>
        <w:tc>
          <w:tcPr>
            <w:tcW w:type="dxa" w:w="180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陈广春</w:t>
            </w:r>
          </w:p>
        </w:tc>
      </w:tr>
      <w:tr>
        <w:tc>
          <w:tcPr>
            <w:tcW w:type="dxa" w:w="1800"/>
            <w:gridSpan w:val="2"/>
            <w:vMerge/>
          </w:tcPr>
          <w:p/>
        </w:tc>
        <w:tc>
          <w:tcPr>
            <w:tcW w:type="dxa" w:w="1800"/>
            <w:gridSpan w:val="2"/>
            <w:vMerge/>
          </w:tcPr>
          <w:p/>
        </w:tc>
        <w:tc>
          <w:tcPr>
            <w:tcW w:type="dxa" w:w="1800"/>
            <w:gridSpan w:val="2"/>
            <w:vMerge/>
          </w:tcPr>
          <w:p/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16"/>
              </w:rPr>
              <w:t>4822.000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16"/>
              </w:rPr>
              <w:t>4807.000</w:t>
            </w:r>
          </w:p>
        </w:tc>
        <w:tc>
          <w:tcPr>
            <w:tcW w:type="dxa" w:w="1800"/>
            <w:gridSpan w:val="2"/>
            <w:vMerge/>
          </w:tcPr>
          <w:p/>
        </w:tc>
        <w:tc>
          <w:tcPr>
            <w:tcW w:type="dxa" w:w="1800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位移起始点值</w:t>
              <w:br/>
              <w:t>Initial point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5591.00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位移终止点值</w:t>
              <w:br/>
              <w:t>Finishing point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5591.00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实测位移值</w:t>
              <w:br/>
              <w:t>Actual travel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sz w:val="16"/>
              </w:rPr>
              <w:t>恒定度</w:t>
              <w:br/>
              <w:t>Constant rate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sz w:val="16"/>
              </w:rPr>
              <w:t>0.1558%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sz w:val="16"/>
              </w:rPr>
              <w:t>锁定位置</w:t>
              <w:br/>
              <w:t>Load tolerance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sz w:val="16"/>
              </w:rPr>
              <w:t>荷载偏差度</w:t>
              <w:br/>
              <w:t>Test result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sz w:val="16"/>
              </w:rPr>
              <w:t>0.30%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sz w:val="16"/>
              </w:rPr>
              <w:t>测试结果</w:t>
              <w:br/>
              <w:t>Test result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