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sz w:val="32"/>
        </w:rPr>
        <w:t>江苏慧通管道设备股份有限公司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JiangShu Huitong Pipeline Equipment Co.Ltd</w:t>
      </w:r>
    </w:p>
    <w:p>
      <w:pPr>
        <w:pStyle w:val="Heading1"/>
        <w:jc w:val="center"/>
      </w:pPr>
      <w:r>
        <w:rPr>
          <w:rFonts w:ascii="SimSun" w:hAnsi="SimSun" w:eastAsia="SimSun"/>
          <w:b/>
          <w:sz w:val="28"/>
        </w:rPr>
        <w:t>恒力吊架性能试验记录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14:19:54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56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4818.000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sz w:val="16"/>
              </w:rPr>
              <w:t>4807.000</w:t>
            </w:r>
          </w:p>
        </w:tc>
        <w:tc>
          <w:tcPr>
            <w:tcW w:type="dxa" w:w="1560"/>
            <w:gridSpan w:val="2"/>
            <w:vMerge/>
          </w:tcPr>
          <w:p/>
        </w:tc>
        <w:tc>
          <w:tcPr>
            <w:tcW w:type="dxa" w:w="156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56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0.1143%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17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