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sz w:val="40"/>
        </w:rPr>
        <w:t>江苏慧通管道设备股份有限公司</w:t>
      </w:r>
    </w:p>
    <w:p>
      <w:pPr>
        <w:jc w:val="center"/>
      </w:pPr>
      <w:r>
        <w:rPr>
          <w:rFonts w:ascii="SimSun" w:hAnsi="SimSun" w:eastAsia="SimSun"/>
          <w:b w:val="0"/>
          <w:sz w:val="32"/>
        </w:rPr>
        <w:t>JiangShu Huitong Pipeline Equipment Co.Ltd</w:t>
      </w:r>
    </w:p>
    <w:p>
      <w:pPr>
        <w:pStyle w:val="Heading1"/>
        <w:jc w:val="center"/>
      </w:pPr>
      <w:r>
        <w:rPr>
          <w:rFonts w:ascii="SimSun" w:hAnsi="SimSun" w:eastAsia="SimSun"/>
          <w:b/>
          <w:sz w:val="32"/>
        </w:rPr>
        <w:t>恒力吊架性能试验记录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14:21:24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4810.000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0.0831%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