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江苏慧通管道设备股份有限公司</w:t>
      </w:r>
    </w:p>
    <w:p>
      <w:pPr>
        <w:jc w:val="center"/>
      </w:pPr>
      <w:r>
        <w:t>JiangShu Huitong Pipeline Equipment Co.Ltd</w:t>
      </w:r>
    </w:p>
    <w:p>
      <w:pPr>
        <w:pStyle w:val="Heading1"/>
        <w:jc w:val="center"/>
      </w:pPr>
      <w:r>
        <w:t>恒力吊架性能试验记录</w:t>
      </w:r>
    </w:p>
    <w:p>
      <w:pPr>
        <w:jc w:val="center"/>
      </w:pPr>
      <w: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123456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2025-09-04 12:31:20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120.00mm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4800N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123456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100mm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180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80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刘云佳</w:t>
            </w:r>
          </w:p>
        </w:tc>
        <w:tc>
          <w:tcPr>
            <w:tcW w:type="dxa" w:w="180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80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80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800"/>
            <w:gridSpan w:val="2"/>
            <w:vMerge/>
          </w:tcPr>
          <w:p/>
        </w:tc>
        <w:tc>
          <w:tcPr>
            <w:tcW w:type="dxa" w:w="1800"/>
            <w:gridSpan w:val="2"/>
            <w:vMerge/>
          </w:tcPr>
          <w:p/>
        </w:tc>
        <w:tc>
          <w:tcPr>
            <w:tcW w:type="dxa" w:w="1800"/>
            <w:gridSpan w:val="2"/>
            <w:vMerge/>
          </w:tcPr>
          <w:p/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16"/>
              </w:rPr>
              <w:t>4818.000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16"/>
              </w:rPr>
              <w:t>4807.000</w:t>
            </w:r>
          </w:p>
        </w:tc>
        <w:tc>
          <w:tcPr>
            <w:tcW w:type="dxa" w:w="1800"/>
            <w:gridSpan w:val="2"/>
            <w:vMerge/>
          </w:tcPr>
          <w:p/>
        </w:tc>
        <w:tc>
          <w:tcPr>
            <w:tcW w:type="dxa" w:w="180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位移起始点值</w:t>
              <w:br/>
              <w:t>Initial point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5521.00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位移终止点值</w:t>
              <w:br/>
              <w:t>Finishing point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5556.00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实测位移值</w:t>
              <w:br/>
              <w:t>Actual travel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35.00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  <w:t>0.1143%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  <w:t>0.26%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