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1DF5" w14:textId="786B102A" w:rsidR="00430C5E" w:rsidRDefault="001F15E3" w:rsidP="001F15E3">
      <w:pPr>
        <w:spacing w:after="80"/>
        <w:jc w:val="center"/>
        <w:rPr>
          <w:rFonts w:ascii="Calibri" w:hAnsi="Calibri" w:cs="Calibri"/>
          <w:b/>
          <w:color w:val="0F172A"/>
          <w:sz w:val="52"/>
        </w:rPr>
      </w:pPr>
      <w:r>
        <w:rPr>
          <w:rFonts w:ascii="Calibri" w:hAnsi="Calibri" w:cs="Calibri"/>
          <w:b/>
          <w:color w:val="0F172A"/>
          <w:sz w:val="52"/>
        </w:rPr>
        <w:t>RentSphere - Full-Stack Rental Management Platform</w:t>
      </w:r>
    </w:p>
    <w:p w14:paraId="550870DA" w14:textId="3FDE413F" w:rsidR="001F15E3" w:rsidRDefault="001F15E3" w:rsidP="001F15E3">
      <w:pPr>
        <w:spacing w:after="80"/>
        <w:jc w:val="center"/>
        <w:rPr>
          <w:rFonts w:ascii="Calibri" w:hAnsi="Calibri" w:cs="Calibri"/>
          <w:color w:val="475569"/>
          <w:sz w:val="26"/>
        </w:rPr>
      </w:pPr>
      <w:r>
        <w:rPr>
          <w:rFonts w:ascii="Calibri" w:hAnsi="Calibri" w:cs="Calibri"/>
          <w:color w:val="475569"/>
          <w:sz w:val="26"/>
        </w:rPr>
        <w:t>Project Report with Architecture, Security Model and Workflows</w:t>
      </w:r>
    </w:p>
    <w:p w14:paraId="7E00421D" w14:textId="6AF55DD3" w:rsidR="001F15E3" w:rsidRDefault="001F15E3" w:rsidP="001F15E3">
      <w:pPr>
        <w:spacing w:after="320"/>
        <w:jc w:val="center"/>
        <w:rPr>
          <w:rFonts w:ascii="Calibri" w:hAnsi="Calibri" w:cs="Calibri"/>
          <w:color w:val="64748B"/>
          <w:sz w:val="21"/>
        </w:rPr>
      </w:pPr>
      <w:r>
        <w:rPr>
          <w:rFonts w:ascii="Calibri" w:hAnsi="Calibri" w:cs="Calibri"/>
          <w:color w:val="64748B"/>
          <w:sz w:val="21"/>
        </w:rPr>
        <w:t>Generated 23 August 2026 - reflects the hardened role-based access implementation</w:t>
      </w:r>
    </w:p>
    <w:p w14:paraId="1B432409" w14:textId="1DE776A6" w:rsidR="001F15E3" w:rsidRDefault="001F15E3" w:rsidP="001F15E3">
      <w:pPr>
        <w:spacing w:after="200"/>
        <w:rPr>
          <w:rFonts w:ascii="Calibri" w:hAnsi="Calibri" w:cs="Calibri"/>
          <w:b/>
          <w:color w:val="0F172A"/>
          <w:sz w:val="34"/>
        </w:rPr>
      </w:pPr>
      <w:r>
        <w:rPr>
          <w:rFonts w:ascii="Calibri" w:hAnsi="Calibri" w:cs="Calibri"/>
          <w:b/>
          <w:color w:val="0F172A"/>
          <w:sz w:val="34"/>
        </w:rPr>
        <w:t>1. Overview</w:t>
      </w:r>
    </w:p>
    <w:p w14:paraId="7362CCFB" w14:textId="75ADD85E" w:rsidR="001F15E3" w:rsidRDefault="001F15E3" w:rsidP="001F15E3">
      <w:pPr>
        <w:rPr>
          <w:rFonts w:ascii="Calibri" w:hAnsi="Calibri" w:cs="Calibri"/>
          <w:color w:val="111111"/>
        </w:rPr>
      </w:pPr>
      <w:r>
        <w:rPr>
          <w:rFonts w:ascii="Calibri" w:hAnsi="Calibri" w:cs="Calibri"/>
          <w:color w:val="111111"/>
        </w:rPr>
        <w:t>RentSphere centralizes property administration and tenant self-service in one secured platform. Conventional rental management depends on spreadsheets, chat threads, paper agreements and disconnected payment records, which makes it hard to know which unit is occupied, which invoice is outstanding, whether a maintenance request was resolved, or who approved a decision. RentSphere replaces this fragmentation with explicit states (AVAILABLE, OCCUPIED, PENDING, PAID, OPEN, RESOLVED, APPROVED, REJECTED), relational integrity and role-aware interfaces.</w:t>
      </w:r>
    </w:p>
    <w:p w14:paraId="5CA80169" w14:textId="3BAE8FD4" w:rsidR="001F15E3" w:rsidRDefault="001F15E3" w:rsidP="001F15E3">
      <w:pPr>
        <w:rPr>
          <w:rFonts w:ascii="Calibri" w:hAnsi="Calibri" w:cs="Calibri"/>
          <w:color w:val="111111"/>
        </w:rPr>
      </w:pPr>
      <w:r>
        <w:rPr>
          <w:rFonts w:ascii="Calibri" w:hAnsi="Calibri" w:cs="Calibri"/>
          <w:color w:val="111111"/>
        </w:rPr>
        <w:t>The system serves three personas. Administrators manage the complete platform including organizations, users and all records. Owners operate their own organization's portfolio: properties, buildings, units, tenants, agreements, finance and workflows. Tenants browse apartments, request visits, pay invoices through Razorpay, submit complaints and deposit disputes, and respond to rent increases. Every response is scoped so users see only what their role permits.</w:t>
      </w:r>
    </w:p>
    <w:p w14:paraId="07A622A8" w14:textId="0B8C2F59" w:rsidR="001F15E3" w:rsidRDefault="001F15E3" w:rsidP="001F15E3">
      <w:pPr>
        <w:spacing w:after="200"/>
        <w:rPr>
          <w:rFonts w:ascii="Calibri" w:hAnsi="Calibri" w:cs="Calibri"/>
          <w:b/>
          <w:color w:val="0F172A"/>
          <w:sz w:val="34"/>
        </w:rPr>
      </w:pPr>
      <w:r>
        <w:rPr>
          <w:rFonts w:ascii="Calibri" w:hAnsi="Calibri" w:cs="Calibri"/>
          <w:b/>
          <w:color w:val="0F172A"/>
          <w:sz w:val="34"/>
        </w:rPr>
        <w:t>2.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1F15E3" w14:paraId="54E2564C" w14:textId="77777777" w:rsidTr="001F15E3">
        <w:tblPrEx>
          <w:tblCellMar>
            <w:top w:w="0" w:type="dxa"/>
            <w:bottom w:w="0" w:type="dxa"/>
          </w:tblCellMar>
        </w:tblPrEx>
        <w:tc>
          <w:tcPr>
            <w:tcW w:w="1666" w:type="pct"/>
            <w:shd w:val="clear" w:color="auto" w:fill="E2E8F0"/>
          </w:tcPr>
          <w:p w14:paraId="04CAF1D2" w14:textId="101ADAC7"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Layer</w:t>
            </w:r>
          </w:p>
        </w:tc>
        <w:tc>
          <w:tcPr>
            <w:tcW w:w="1667" w:type="pct"/>
            <w:shd w:val="clear" w:color="auto" w:fill="E2E8F0"/>
          </w:tcPr>
          <w:p w14:paraId="78ABC2BA" w14:textId="7147C328"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Technology</w:t>
            </w:r>
          </w:p>
        </w:tc>
        <w:tc>
          <w:tcPr>
            <w:tcW w:w="1667" w:type="pct"/>
            <w:shd w:val="clear" w:color="auto" w:fill="E2E8F0"/>
          </w:tcPr>
          <w:p w14:paraId="705A57AC" w14:textId="6916BE94"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Purpose</w:t>
            </w:r>
          </w:p>
        </w:tc>
      </w:tr>
      <w:tr w:rsidR="001F15E3" w14:paraId="24404F94" w14:textId="77777777" w:rsidTr="001F15E3">
        <w:tblPrEx>
          <w:tblCellMar>
            <w:top w:w="0" w:type="dxa"/>
            <w:bottom w:w="0" w:type="dxa"/>
          </w:tblCellMar>
        </w:tblPrEx>
        <w:tc>
          <w:tcPr>
            <w:tcW w:w="1666" w:type="pct"/>
          </w:tcPr>
          <w:p w14:paraId="0A158258" w14:textId="289A2715" w:rsidR="001F15E3" w:rsidRPr="001F15E3" w:rsidRDefault="001F15E3" w:rsidP="001F15E3">
            <w:pPr>
              <w:rPr>
                <w:rFonts w:ascii="Calibri" w:hAnsi="Calibri" w:cs="Calibri"/>
                <w:color w:val="111111"/>
                <w:sz w:val="19"/>
              </w:rPr>
            </w:pPr>
            <w:r w:rsidRPr="001F15E3">
              <w:rPr>
                <w:rFonts w:ascii="Calibri" w:hAnsi="Calibri" w:cs="Calibri"/>
                <w:color w:val="111111"/>
                <w:sz w:val="19"/>
              </w:rPr>
              <w:t>Frontend</w:t>
            </w:r>
          </w:p>
        </w:tc>
        <w:tc>
          <w:tcPr>
            <w:tcW w:w="1667" w:type="pct"/>
          </w:tcPr>
          <w:p w14:paraId="7636308C" w14:textId="3CDA1903" w:rsidR="001F15E3" w:rsidRPr="001F15E3" w:rsidRDefault="001F15E3" w:rsidP="001F15E3">
            <w:pPr>
              <w:rPr>
                <w:rFonts w:ascii="Calibri" w:hAnsi="Calibri" w:cs="Calibri"/>
                <w:color w:val="111111"/>
                <w:sz w:val="19"/>
              </w:rPr>
            </w:pPr>
            <w:r w:rsidRPr="001F15E3">
              <w:rPr>
                <w:rFonts w:ascii="Calibri" w:hAnsi="Calibri" w:cs="Calibri"/>
                <w:color w:val="111111"/>
                <w:sz w:val="19"/>
              </w:rPr>
              <w:t>React 19, Vite, TypeScript, MUI</w:t>
            </w:r>
          </w:p>
        </w:tc>
        <w:tc>
          <w:tcPr>
            <w:tcW w:w="1667" w:type="pct"/>
          </w:tcPr>
          <w:p w14:paraId="17F16F1C" w14:textId="15FE4D67" w:rsidR="001F15E3" w:rsidRPr="001F15E3" w:rsidRDefault="001F15E3" w:rsidP="001F15E3">
            <w:pPr>
              <w:rPr>
                <w:rFonts w:ascii="Calibri" w:hAnsi="Calibri" w:cs="Calibri"/>
                <w:color w:val="111111"/>
                <w:sz w:val="19"/>
              </w:rPr>
            </w:pPr>
            <w:r w:rsidRPr="001F15E3">
              <w:rPr>
                <w:rFonts w:ascii="Calibri" w:hAnsi="Calibri" w:cs="Calibri"/>
                <w:color w:val="111111"/>
                <w:sz w:val="19"/>
              </w:rPr>
              <w:t>Role-aware SPA with themed components</w:t>
            </w:r>
          </w:p>
        </w:tc>
      </w:tr>
      <w:tr w:rsidR="001F15E3" w14:paraId="738EC722" w14:textId="77777777" w:rsidTr="001F15E3">
        <w:tblPrEx>
          <w:tblCellMar>
            <w:top w:w="0" w:type="dxa"/>
            <w:bottom w:w="0" w:type="dxa"/>
          </w:tblCellMar>
        </w:tblPrEx>
        <w:tc>
          <w:tcPr>
            <w:tcW w:w="1666" w:type="pct"/>
          </w:tcPr>
          <w:p w14:paraId="5239A267" w14:textId="57EC1C91" w:rsidR="001F15E3" w:rsidRPr="001F15E3" w:rsidRDefault="001F15E3" w:rsidP="001F15E3">
            <w:pPr>
              <w:rPr>
                <w:rFonts w:ascii="Calibri" w:hAnsi="Calibri" w:cs="Calibri"/>
                <w:color w:val="111111"/>
                <w:sz w:val="19"/>
              </w:rPr>
            </w:pPr>
            <w:r w:rsidRPr="001F15E3">
              <w:rPr>
                <w:rFonts w:ascii="Calibri" w:hAnsi="Calibri" w:cs="Calibri"/>
                <w:color w:val="111111"/>
                <w:sz w:val="19"/>
              </w:rPr>
              <w:t>Backend</w:t>
            </w:r>
          </w:p>
        </w:tc>
        <w:tc>
          <w:tcPr>
            <w:tcW w:w="1667" w:type="pct"/>
          </w:tcPr>
          <w:p w14:paraId="081827C2" w14:textId="1810D0B4" w:rsidR="001F15E3" w:rsidRPr="001F15E3" w:rsidRDefault="001F15E3" w:rsidP="001F15E3">
            <w:pPr>
              <w:rPr>
                <w:rFonts w:ascii="Calibri" w:hAnsi="Calibri" w:cs="Calibri"/>
                <w:color w:val="111111"/>
                <w:sz w:val="19"/>
              </w:rPr>
            </w:pPr>
            <w:r w:rsidRPr="001F15E3">
              <w:rPr>
                <w:rFonts w:ascii="Calibri" w:hAnsi="Calibri" w:cs="Calibri"/>
                <w:color w:val="111111"/>
                <w:sz w:val="19"/>
              </w:rPr>
              <w:t>Spring Boot (Java), Spring Security</w:t>
            </w:r>
          </w:p>
        </w:tc>
        <w:tc>
          <w:tcPr>
            <w:tcW w:w="1667" w:type="pct"/>
          </w:tcPr>
          <w:p w14:paraId="21B9E4E4" w14:textId="58233DB0" w:rsidR="001F15E3" w:rsidRPr="001F15E3" w:rsidRDefault="001F15E3" w:rsidP="001F15E3">
            <w:pPr>
              <w:rPr>
                <w:rFonts w:ascii="Calibri" w:hAnsi="Calibri" w:cs="Calibri"/>
                <w:color w:val="111111"/>
                <w:sz w:val="19"/>
              </w:rPr>
            </w:pPr>
            <w:r w:rsidRPr="001F15E3">
              <w:rPr>
                <w:rFonts w:ascii="Calibri" w:hAnsi="Calibri" w:cs="Calibri"/>
                <w:color w:val="111111"/>
                <w:sz w:val="19"/>
              </w:rPr>
              <w:t>Stateless REST API, JWT auth, method security</w:t>
            </w:r>
          </w:p>
        </w:tc>
      </w:tr>
      <w:tr w:rsidR="001F15E3" w14:paraId="54FB22F5" w14:textId="77777777" w:rsidTr="001F15E3">
        <w:tblPrEx>
          <w:tblCellMar>
            <w:top w:w="0" w:type="dxa"/>
            <w:bottom w:w="0" w:type="dxa"/>
          </w:tblCellMar>
        </w:tblPrEx>
        <w:tc>
          <w:tcPr>
            <w:tcW w:w="1666" w:type="pct"/>
          </w:tcPr>
          <w:p w14:paraId="477A480E" w14:textId="5B0280E5" w:rsidR="001F15E3" w:rsidRPr="001F15E3" w:rsidRDefault="001F15E3" w:rsidP="001F15E3">
            <w:pPr>
              <w:rPr>
                <w:rFonts w:ascii="Calibri" w:hAnsi="Calibri" w:cs="Calibri"/>
                <w:color w:val="111111"/>
                <w:sz w:val="19"/>
              </w:rPr>
            </w:pPr>
            <w:r w:rsidRPr="001F15E3">
              <w:rPr>
                <w:rFonts w:ascii="Calibri" w:hAnsi="Calibri" w:cs="Calibri"/>
                <w:color w:val="111111"/>
                <w:sz w:val="19"/>
              </w:rPr>
              <w:t>Persistence</w:t>
            </w:r>
          </w:p>
        </w:tc>
        <w:tc>
          <w:tcPr>
            <w:tcW w:w="1667" w:type="pct"/>
          </w:tcPr>
          <w:p w14:paraId="392B1FB9" w14:textId="0A17C9FB" w:rsidR="001F15E3" w:rsidRPr="001F15E3" w:rsidRDefault="001F15E3" w:rsidP="001F15E3">
            <w:pPr>
              <w:rPr>
                <w:rFonts w:ascii="Calibri" w:hAnsi="Calibri" w:cs="Calibri"/>
                <w:color w:val="111111"/>
                <w:sz w:val="19"/>
              </w:rPr>
            </w:pPr>
            <w:r w:rsidRPr="001F15E3">
              <w:rPr>
                <w:rFonts w:ascii="Calibri" w:hAnsi="Calibri" w:cs="Calibri"/>
                <w:color w:val="111111"/>
                <w:sz w:val="19"/>
              </w:rPr>
              <w:t>PostgreSQL via Supabase, Spring Data JPA</w:t>
            </w:r>
          </w:p>
        </w:tc>
        <w:tc>
          <w:tcPr>
            <w:tcW w:w="1667" w:type="pct"/>
          </w:tcPr>
          <w:p w14:paraId="466CBF7E" w14:textId="4DAC4E2A" w:rsidR="001F15E3" w:rsidRPr="001F15E3" w:rsidRDefault="001F15E3" w:rsidP="001F15E3">
            <w:pPr>
              <w:rPr>
                <w:rFonts w:ascii="Calibri" w:hAnsi="Calibri" w:cs="Calibri"/>
                <w:color w:val="111111"/>
                <w:sz w:val="19"/>
              </w:rPr>
            </w:pPr>
            <w:r w:rsidRPr="001F15E3">
              <w:rPr>
                <w:rFonts w:ascii="Calibri" w:hAnsi="Calibri" w:cs="Calibri"/>
                <w:color w:val="111111"/>
                <w:sz w:val="19"/>
              </w:rPr>
              <w:t>Relational domain model with versioned migrations</w:t>
            </w:r>
          </w:p>
        </w:tc>
      </w:tr>
      <w:tr w:rsidR="001F15E3" w14:paraId="653A4346" w14:textId="77777777" w:rsidTr="001F15E3">
        <w:tblPrEx>
          <w:tblCellMar>
            <w:top w:w="0" w:type="dxa"/>
            <w:bottom w:w="0" w:type="dxa"/>
          </w:tblCellMar>
        </w:tblPrEx>
        <w:tc>
          <w:tcPr>
            <w:tcW w:w="1666" w:type="pct"/>
          </w:tcPr>
          <w:p w14:paraId="4178F735" w14:textId="663F92FF" w:rsidR="001F15E3" w:rsidRPr="001F15E3" w:rsidRDefault="001F15E3" w:rsidP="001F15E3">
            <w:pPr>
              <w:rPr>
                <w:rFonts w:ascii="Calibri" w:hAnsi="Calibri" w:cs="Calibri"/>
                <w:color w:val="111111"/>
                <w:sz w:val="19"/>
              </w:rPr>
            </w:pPr>
            <w:r w:rsidRPr="001F15E3">
              <w:rPr>
                <w:rFonts w:ascii="Calibri" w:hAnsi="Calibri" w:cs="Calibri"/>
                <w:color w:val="111111"/>
                <w:sz w:val="19"/>
              </w:rPr>
              <w:t>Payments</w:t>
            </w:r>
          </w:p>
        </w:tc>
        <w:tc>
          <w:tcPr>
            <w:tcW w:w="1667" w:type="pct"/>
          </w:tcPr>
          <w:p w14:paraId="58B07CCD" w14:textId="2FF73680" w:rsidR="001F15E3" w:rsidRPr="001F15E3" w:rsidRDefault="001F15E3" w:rsidP="001F15E3">
            <w:pPr>
              <w:rPr>
                <w:rFonts w:ascii="Calibri" w:hAnsi="Calibri" w:cs="Calibri"/>
                <w:color w:val="111111"/>
                <w:sz w:val="19"/>
              </w:rPr>
            </w:pPr>
            <w:r w:rsidRPr="001F15E3">
              <w:rPr>
                <w:rFonts w:ascii="Calibri" w:hAnsi="Calibri" w:cs="Calibri"/>
                <w:color w:val="111111"/>
                <w:sz w:val="19"/>
              </w:rPr>
              <w:t>Razorpay SDK</w:t>
            </w:r>
          </w:p>
        </w:tc>
        <w:tc>
          <w:tcPr>
            <w:tcW w:w="1667" w:type="pct"/>
          </w:tcPr>
          <w:p w14:paraId="05B0A86E" w14:textId="39F29BA0" w:rsidR="001F15E3" w:rsidRPr="001F15E3" w:rsidRDefault="001F15E3" w:rsidP="001F15E3">
            <w:pPr>
              <w:rPr>
                <w:rFonts w:ascii="Calibri" w:hAnsi="Calibri" w:cs="Calibri"/>
                <w:color w:val="111111"/>
                <w:sz w:val="19"/>
              </w:rPr>
            </w:pPr>
            <w:r w:rsidRPr="001F15E3">
              <w:rPr>
                <w:rFonts w:ascii="Calibri" w:hAnsi="Calibri" w:cs="Calibri"/>
                <w:color w:val="111111"/>
                <w:sz w:val="19"/>
              </w:rPr>
              <w:t>Hosted checkout, HMAC-SHA256 verification, webhooks</w:t>
            </w:r>
          </w:p>
        </w:tc>
      </w:tr>
      <w:tr w:rsidR="001F15E3" w14:paraId="6E6E8D6F" w14:textId="77777777" w:rsidTr="001F15E3">
        <w:tblPrEx>
          <w:tblCellMar>
            <w:top w:w="0" w:type="dxa"/>
            <w:bottom w:w="0" w:type="dxa"/>
          </w:tblCellMar>
        </w:tblPrEx>
        <w:tc>
          <w:tcPr>
            <w:tcW w:w="1666" w:type="pct"/>
          </w:tcPr>
          <w:p w14:paraId="0733C0EE" w14:textId="2B491BC6" w:rsidR="001F15E3" w:rsidRPr="001F15E3" w:rsidRDefault="001F15E3" w:rsidP="001F15E3">
            <w:pPr>
              <w:rPr>
                <w:rFonts w:ascii="Calibri" w:hAnsi="Calibri" w:cs="Calibri"/>
                <w:color w:val="111111"/>
                <w:sz w:val="19"/>
              </w:rPr>
            </w:pPr>
            <w:r w:rsidRPr="001F15E3">
              <w:rPr>
                <w:rFonts w:ascii="Calibri" w:hAnsi="Calibri" w:cs="Calibri"/>
                <w:color w:val="111111"/>
                <w:sz w:val="19"/>
              </w:rPr>
              <w:t>AI Assistant</w:t>
            </w:r>
          </w:p>
        </w:tc>
        <w:tc>
          <w:tcPr>
            <w:tcW w:w="1667" w:type="pct"/>
          </w:tcPr>
          <w:p w14:paraId="677D1E89" w14:textId="2EBB3BD2" w:rsidR="001F15E3" w:rsidRPr="001F15E3" w:rsidRDefault="001F15E3" w:rsidP="001F15E3">
            <w:pPr>
              <w:rPr>
                <w:rFonts w:ascii="Calibri" w:hAnsi="Calibri" w:cs="Calibri"/>
                <w:color w:val="111111"/>
                <w:sz w:val="19"/>
              </w:rPr>
            </w:pPr>
            <w:r w:rsidRPr="001F15E3">
              <w:rPr>
                <w:rFonts w:ascii="Calibri" w:hAnsi="Calibri" w:cs="Calibri"/>
                <w:color w:val="111111"/>
                <w:sz w:val="19"/>
              </w:rPr>
              <w:t>Google Gemini</w:t>
            </w:r>
          </w:p>
        </w:tc>
        <w:tc>
          <w:tcPr>
            <w:tcW w:w="1667" w:type="pct"/>
          </w:tcPr>
          <w:p w14:paraId="460950D3" w14:textId="5FF2A64D" w:rsidR="001F15E3" w:rsidRPr="001F15E3" w:rsidRDefault="001F15E3" w:rsidP="001F15E3">
            <w:pPr>
              <w:rPr>
                <w:rFonts w:ascii="Calibri" w:hAnsi="Calibri" w:cs="Calibri"/>
                <w:color w:val="111111"/>
                <w:sz w:val="19"/>
              </w:rPr>
            </w:pPr>
            <w:r w:rsidRPr="001F15E3">
              <w:rPr>
                <w:rFonts w:ascii="Calibri" w:hAnsi="Calibri" w:cs="Calibri"/>
                <w:color w:val="111111"/>
                <w:sz w:val="19"/>
              </w:rPr>
              <w:t>Answers questions using the caller's visible records</w:t>
            </w:r>
          </w:p>
        </w:tc>
      </w:tr>
      <w:tr w:rsidR="001F15E3" w14:paraId="15B3F5EC" w14:textId="77777777" w:rsidTr="001F15E3">
        <w:tblPrEx>
          <w:tblCellMar>
            <w:top w:w="0" w:type="dxa"/>
            <w:bottom w:w="0" w:type="dxa"/>
          </w:tblCellMar>
        </w:tblPrEx>
        <w:tc>
          <w:tcPr>
            <w:tcW w:w="1666" w:type="pct"/>
          </w:tcPr>
          <w:p w14:paraId="2234D2E9" w14:textId="7AE2CEF5" w:rsidR="001F15E3" w:rsidRPr="001F15E3" w:rsidRDefault="001F15E3" w:rsidP="001F15E3">
            <w:pPr>
              <w:rPr>
                <w:rFonts w:ascii="Calibri" w:hAnsi="Calibri" w:cs="Calibri"/>
                <w:color w:val="111111"/>
                <w:sz w:val="19"/>
              </w:rPr>
            </w:pPr>
            <w:r w:rsidRPr="001F15E3">
              <w:rPr>
                <w:rFonts w:ascii="Calibri" w:hAnsi="Calibri" w:cs="Calibri"/>
                <w:color w:val="111111"/>
                <w:sz w:val="19"/>
              </w:rPr>
              <w:t>Notifications</w:t>
            </w:r>
          </w:p>
        </w:tc>
        <w:tc>
          <w:tcPr>
            <w:tcW w:w="1667" w:type="pct"/>
          </w:tcPr>
          <w:p w14:paraId="5F8C0A96" w14:textId="6A2A77ED" w:rsidR="001F15E3" w:rsidRPr="001F15E3" w:rsidRDefault="001F15E3" w:rsidP="001F15E3">
            <w:pPr>
              <w:rPr>
                <w:rFonts w:ascii="Calibri" w:hAnsi="Calibri" w:cs="Calibri"/>
                <w:color w:val="111111"/>
                <w:sz w:val="19"/>
              </w:rPr>
            </w:pPr>
            <w:r w:rsidRPr="001F15E3">
              <w:rPr>
                <w:rFonts w:ascii="Calibri" w:hAnsi="Calibri" w:cs="Calibri"/>
                <w:color w:val="111111"/>
                <w:sz w:val="19"/>
              </w:rPr>
              <w:t>SSE + email service</w:t>
            </w:r>
          </w:p>
        </w:tc>
        <w:tc>
          <w:tcPr>
            <w:tcW w:w="1667" w:type="pct"/>
          </w:tcPr>
          <w:p w14:paraId="1A7F0372" w14:textId="7A47A0BA" w:rsidR="001F15E3" w:rsidRPr="001F15E3" w:rsidRDefault="001F15E3" w:rsidP="001F15E3">
            <w:pPr>
              <w:rPr>
                <w:rFonts w:ascii="Calibri" w:hAnsi="Calibri" w:cs="Calibri"/>
                <w:color w:val="111111"/>
                <w:sz w:val="19"/>
              </w:rPr>
            </w:pPr>
            <w:r w:rsidRPr="001F15E3">
              <w:rPr>
                <w:rFonts w:ascii="Calibri" w:hAnsi="Calibri" w:cs="Calibri"/>
                <w:color w:val="111111"/>
                <w:sz w:val="19"/>
              </w:rPr>
              <w:t>Real-time delivery with polling fallback</w:t>
            </w:r>
          </w:p>
        </w:tc>
      </w:tr>
      <w:tr w:rsidR="001F15E3" w14:paraId="227A2A53" w14:textId="77777777" w:rsidTr="001F15E3">
        <w:tblPrEx>
          <w:tblCellMar>
            <w:top w:w="0" w:type="dxa"/>
            <w:bottom w:w="0" w:type="dxa"/>
          </w:tblCellMar>
        </w:tblPrEx>
        <w:tc>
          <w:tcPr>
            <w:tcW w:w="1666" w:type="pct"/>
          </w:tcPr>
          <w:p w14:paraId="33EE197B" w14:textId="28EDF369" w:rsidR="001F15E3" w:rsidRPr="001F15E3" w:rsidRDefault="001F15E3" w:rsidP="001F15E3">
            <w:pPr>
              <w:rPr>
                <w:rFonts w:ascii="Calibri" w:hAnsi="Calibri" w:cs="Calibri"/>
                <w:color w:val="111111"/>
                <w:sz w:val="19"/>
              </w:rPr>
            </w:pPr>
            <w:r w:rsidRPr="001F15E3">
              <w:rPr>
                <w:rFonts w:ascii="Calibri" w:hAnsi="Calibri" w:cs="Calibri"/>
                <w:color w:val="111111"/>
                <w:sz w:val="19"/>
              </w:rPr>
              <w:t>Caching</w:t>
            </w:r>
          </w:p>
        </w:tc>
        <w:tc>
          <w:tcPr>
            <w:tcW w:w="1667" w:type="pct"/>
          </w:tcPr>
          <w:p w14:paraId="505446BE" w14:textId="4B9FD617" w:rsidR="001F15E3" w:rsidRPr="001F15E3" w:rsidRDefault="001F15E3" w:rsidP="001F15E3">
            <w:pPr>
              <w:rPr>
                <w:rFonts w:ascii="Calibri" w:hAnsi="Calibri" w:cs="Calibri"/>
                <w:color w:val="111111"/>
                <w:sz w:val="19"/>
              </w:rPr>
            </w:pPr>
            <w:r w:rsidRPr="001F15E3">
              <w:rPr>
                <w:rFonts w:ascii="Calibri" w:hAnsi="Calibri" w:cs="Calibri"/>
                <w:color w:val="111111"/>
                <w:sz w:val="19"/>
              </w:rPr>
              <w:t>Caffeine (scope-aware keys)</w:t>
            </w:r>
          </w:p>
        </w:tc>
        <w:tc>
          <w:tcPr>
            <w:tcW w:w="1667" w:type="pct"/>
          </w:tcPr>
          <w:p w14:paraId="4C2AD6AB" w14:textId="4DE50D1E" w:rsidR="001F15E3" w:rsidRPr="001F15E3" w:rsidRDefault="001F15E3" w:rsidP="001F15E3">
            <w:pPr>
              <w:rPr>
                <w:rFonts w:ascii="Calibri" w:hAnsi="Calibri" w:cs="Calibri"/>
                <w:color w:val="111111"/>
                <w:sz w:val="19"/>
              </w:rPr>
            </w:pPr>
            <w:r w:rsidRPr="001F15E3">
              <w:rPr>
                <w:rFonts w:ascii="Calibri" w:hAnsi="Calibri" w:cs="Calibri"/>
                <w:color w:val="111111"/>
                <w:sz w:val="19"/>
              </w:rPr>
              <w:t>Collection and entity caches evicted on writes</w:t>
            </w:r>
          </w:p>
        </w:tc>
      </w:tr>
      <w:tr w:rsidR="001F15E3" w14:paraId="4606DB60" w14:textId="77777777" w:rsidTr="001F15E3">
        <w:tblPrEx>
          <w:tblCellMar>
            <w:top w:w="0" w:type="dxa"/>
            <w:bottom w:w="0" w:type="dxa"/>
          </w:tblCellMar>
        </w:tblPrEx>
        <w:tc>
          <w:tcPr>
            <w:tcW w:w="1666" w:type="pct"/>
          </w:tcPr>
          <w:p w14:paraId="43B68194" w14:textId="67350CCA" w:rsidR="001F15E3" w:rsidRPr="001F15E3" w:rsidRDefault="001F15E3" w:rsidP="001F15E3">
            <w:pPr>
              <w:rPr>
                <w:rFonts w:ascii="Calibri" w:hAnsi="Calibri" w:cs="Calibri"/>
                <w:color w:val="111111"/>
                <w:sz w:val="19"/>
              </w:rPr>
            </w:pPr>
            <w:r w:rsidRPr="001F15E3">
              <w:rPr>
                <w:rFonts w:ascii="Calibri" w:hAnsi="Calibri" w:cs="Calibri"/>
                <w:color w:val="111111"/>
                <w:sz w:val="19"/>
              </w:rPr>
              <w:t>Build/Test</w:t>
            </w:r>
          </w:p>
        </w:tc>
        <w:tc>
          <w:tcPr>
            <w:tcW w:w="1667" w:type="pct"/>
          </w:tcPr>
          <w:p w14:paraId="4B95D2EC" w14:textId="793899DD" w:rsidR="001F15E3" w:rsidRPr="001F15E3" w:rsidRDefault="001F15E3" w:rsidP="001F15E3">
            <w:pPr>
              <w:rPr>
                <w:rFonts w:ascii="Calibri" w:hAnsi="Calibri" w:cs="Calibri"/>
                <w:color w:val="111111"/>
                <w:sz w:val="19"/>
              </w:rPr>
            </w:pPr>
            <w:r w:rsidRPr="001F15E3">
              <w:rPr>
                <w:rFonts w:ascii="Calibri" w:hAnsi="Calibri" w:cs="Calibri"/>
                <w:color w:val="111111"/>
                <w:sz w:val="19"/>
              </w:rPr>
              <w:t>Maven wrapper, JUnit, MockMvc; ESLint, tsc, Vite</w:t>
            </w:r>
          </w:p>
        </w:tc>
        <w:tc>
          <w:tcPr>
            <w:tcW w:w="1667" w:type="pct"/>
          </w:tcPr>
          <w:p w14:paraId="4DC97E80" w14:textId="0B73B67D" w:rsidR="001F15E3" w:rsidRPr="001F15E3" w:rsidRDefault="001F15E3" w:rsidP="001F15E3">
            <w:pPr>
              <w:rPr>
                <w:rFonts w:ascii="Calibri" w:hAnsi="Calibri" w:cs="Calibri"/>
                <w:color w:val="111111"/>
                <w:sz w:val="19"/>
              </w:rPr>
            </w:pPr>
            <w:r w:rsidRPr="001F15E3">
              <w:rPr>
                <w:rFonts w:ascii="Calibri" w:hAnsi="Calibri" w:cs="Calibri"/>
                <w:color w:val="111111"/>
                <w:sz w:val="19"/>
              </w:rPr>
              <w:t>Automated integration tests and static validation</w:t>
            </w:r>
          </w:p>
        </w:tc>
      </w:tr>
    </w:tbl>
    <w:p w14:paraId="7022D53C" w14:textId="77777777" w:rsidR="001F15E3" w:rsidRDefault="001F15E3" w:rsidP="001F15E3">
      <w:pPr>
        <w:rPr>
          <w:rFonts w:ascii="Calibri" w:hAnsi="Calibri" w:cs="Calibri"/>
          <w:color w:val="111111"/>
        </w:rPr>
      </w:pPr>
    </w:p>
    <w:p w14:paraId="55762E84" w14:textId="31E35732" w:rsidR="001F15E3" w:rsidRDefault="001F15E3" w:rsidP="001F15E3">
      <w:pPr>
        <w:spacing w:after="200"/>
        <w:rPr>
          <w:rFonts w:ascii="Calibri" w:hAnsi="Calibri" w:cs="Calibri"/>
          <w:b/>
          <w:color w:val="0F172A"/>
          <w:sz w:val="34"/>
        </w:rPr>
      </w:pPr>
      <w:r>
        <w:rPr>
          <w:rFonts w:ascii="Calibri" w:hAnsi="Calibri" w:cs="Calibri"/>
          <w:b/>
          <w:color w:val="0F172A"/>
          <w:sz w:val="34"/>
        </w:rPr>
        <w:t>3. System Architecture</w:t>
      </w:r>
    </w:p>
    <w:p w14:paraId="5E670B22" w14:textId="051DCD5A" w:rsidR="001F15E3" w:rsidRDefault="001F15E3" w:rsidP="001F15E3">
      <w:pPr>
        <w:rPr>
          <w:rFonts w:ascii="Calibri" w:hAnsi="Calibri" w:cs="Calibri"/>
          <w:color w:val="111111"/>
        </w:rPr>
      </w:pPr>
      <w:r>
        <w:rPr>
          <w:rFonts w:ascii="Calibri" w:hAnsi="Calibri" w:cs="Calibri"/>
          <w:color w:val="111111"/>
        </w:rPr>
        <w:lastRenderedPageBreak/>
        <w:t>The React single-page application communicates exclusively with the Spring Boot API over HTTPS using JWT bearer tokens. The API is organized into a security filter chain, controllers guarded by declarative role rules, services containing business rules and organization-scope guards, and Spring Data repositories. External systems include PostgreSQL (Supabase), Razorpay for payments, Gemini for the assistant and an email service for workflow alerts.</w:t>
      </w:r>
    </w:p>
    <w:p w14:paraId="4E5B08CE" w14:textId="77777777" w:rsidR="001F15E3" w:rsidRDefault="001F15E3" w:rsidP="001F15E3">
      <w:pPr>
        <w:spacing w:after="80"/>
        <w:jc w:val="center"/>
        <w:rPr>
          <w:rFonts w:ascii="Calibri" w:hAnsi="Calibri" w:cs="Calibri"/>
          <w:color w:val="111111"/>
        </w:rPr>
      </w:pPr>
    </w:p>
    <w:p w14:paraId="2716553B" w14:textId="77777777" w:rsidR="001F15E3" w:rsidRDefault="001F15E3" w:rsidP="001F15E3">
      <w:pPr>
        <w:spacing w:after="240"/>
        <w:jc w:val="center"/>
        <w:rPr>
          <w:rFonts w:ascii="Calibri" w:hAnsi="Calibri" w:cs="Calibri"/>
          <w:i/>
          <w:color w:val="64748B"/>
          <w:sz w:val="19"/>
        </w:rPr>
      </w:pPr>
      <w:r>
        <w:rPr>
          <w:rFonts w:ascii="Calibri" w:hAnsi="Calibri" w:cs="Calibri"/>
          <w:i/>
          <w:color w:val="64748B"/>
          <w:sz w:val="19"/>
        </w:rPr>
        <w:t>Figure 1: Layered system architecture with external integrations.</w:t>
      </w:r>
    </w:p>
    <w:p w14:paraId="23F0EC5B" w14:textId="77777777" w:rsidR="001F15E3" w:rsidRDefault="001F15E3" w:rsidP="001F15E3">
      <w:pPr>
        <w:spacing w:after="200"/>
        <w:rPr>
          <w:rFonts w:ascii="Calibri" w:hAnsi="Calibri" w:cs="Calibri"/>
          <w:b/>
          <w:color w:val="0F172A"/>
          <w:sz w:val="34"/>
        </w:rPr>
      </w:pPr>
      <w:r>
        <w:rPr>
          <w:rFonts w:ascii="Calibri" w:hAnsi="Calibri" w:cs="Calibri"/>
          <w:b/>
          <w:color w:val="0F172A"/>
          <w:sz w:val="34"/>
        </w:rPr>
        <w:t>4. Functional Modules</w:t>
      </w:r>
    </w:p>
    <w:p w14:paraId="4C077D22" w14:textId="77777777" w:rsidR="001F15E3" w:rsidRDefault="001F15E3" w:rsidP="001F15E3">
      <w:pPr>
        <w:spacing w:after="80"/>
        <w:rPr>
          <w:rFonts w:ascii="Calibri" w:hAnsi="Calibri" w:cs="Calibri"/>
          <w:color w:val="111111"/>
        </w:rPr>
      </w:pPr>
      <w:r>
        <w:rPr>
          <w:rFonts w:ascii="Calibri" w:hAnsi="Calibri" w:cs="Calibri"/>
          <w:color w:val="111111"/>
        </w:rPr>
        <w:t>•  Organizations and user administration with role assignment</w:t>
      </w:r>
    </w:p>
    <w:p w14:paraId="5910522D" w14:textId="77777777" w:rsidR="001F15E3" w:rsidRDefault="001F15E3" w:rsidP="001F15E3">
      <w:pPr>
        <w:spacing w:after="80"/>
        <w:rPr>
          <w:rFonts w:ascii="Calibri" w:hAnsi="Calibri" w:cs="Calibri"/>
          <w:color w:val="111111"/>
        </w:rPr>
      </w:pPr>
      <w:r>
        <w:rPr>
          <w:rFonts w:ascii="Calibri" w:hAnsi="Calibri" w:cs="Calibri"/>
          <w:color w:val="111111"/>
        </w:rPr>
        <w:t>•  Property inventory: properties, buildings, units with images and statuses</w:t>
      </w:r>
    </w:p>
    <w:p w14:paraId="5003F1A7" w14:textId="77777777" w:rsidR="001F15E3" w:rsidRDefault="001F15E3" w:rsidP="001F15E3">
      <w:pPr>
        <w:spacing w:after="80"/>
        <w:rPr>
          <w:rFonts w:ascii="Calibri" w:hAnsi="Calibri" w:cs="Calibri"/>
          <w:color w:val="111111"/>
        </w:rPr>
      </w:pPr>
      <w:r>
        <w:rPr>
          <w:rFonts w:ascii="Calibri" w:hAnsi="Calibri" w:cs="Calibri"/>
          <w:color w:val="111111"/>
        </w:rPr>
        <w:t>•  Tenant management with KYC profile and proof documents</w:t>
      </w:r>
    </w:p>
    <w:p w14:paraId="318EF6AD" w14:textId="77777777" w:rsidR="001F15E3" w:rsidRDefault="001F15E3" w:rsidP="001F15E3">
      <w:pPr>
        <w:spacing w:after="80"/>
        <w:rPr>
          <w:rFonts w:ascii="Calibri" w:hAnsi="Calibri" w:cs="Calibri"/>
          <w:color w:val="111111"/>
        </w:rPr>
      </w:pPr>
      <w:r>
        <w:rPr>
          <w:rFonts w:ascii="Calibri" w:hAnsi="Calibri" w:cs="Calibri"/>
          <w:color w:val="111111"/>
        </w:rPr>
        <w:t>•  Agreements and invoice generation with due-date tracking</w:t>
      </w:r>
    </w:p>
    <w:p w14:paraId="695F50EA" w14:textId="77777777" w:rsidR="001F15E3" w:rsidRDefault="001F15E3" w:rsidP="001F15E3">
      <w:pPr>
        <w:spacing w:after="80"/>
        <w:rPr>
          <w:rFonts w:ascii="Calibri" w:hAnsi="Calibri" w:cs="Calibri"/>
          <w:color w:val="111111"/>
        </w:rPr>
      </w:pPr>
      <w:r>
        <w:rPr>
          <w:rFonts w:ascii="Calibri" w:hAnsi="Calibri" w:cs="Calibri"/>
          <w:color w:val="111111"/>
        </w:rPr>
        <w:t>•  Payment lifecycle: manual records plus verified Razorpay checkout</w:t>
      </w:r>
    </w:p>
    <w:p w14:paraId="00B54683" w14:textId="77777777" w:rsidR="001F15E3" w:rsidRDefault="001F15E3" w:rsidP="001F15E3">
      <w:pPr>
        <w:spacing w:after="80"/>
        <w:rPr>
          <w:rFonts w:ascii="Calibri" w:hAnsi="Calibri" w:cs="Calibri"/>
          <w:color w:val="111111"/>
        </w:rPr>
      </w:pPr>
      <w:r>
        <w:rPr>
          <w:rFonts w:ascii="Calibri" w:hAnsi="Calibri" w:cs="Calibri"/>
          <w:color w:val="111111"/>
        </w:rPr>
        <w:t>•  Complaints with open / in-progress / resolved transitions</w:t>
      </w:r>
    </w:p>
    <w:p w14:paraId="768239E3" w14:textId="77777777" w:rsidR="001F15E3" w:rsidRDefault="001F15E3" w:rsidP="001F15E3">
      <w:pPr>
        <w:spacing w:after="80"/>
        <w:rPr>
          <w:rFonts w:ascii="Calibri" w:hAnsi="Calibri" w:cs="Calibri"/>
          <w:color w:val="111111"/>
        </w:rPr>
      </w:pPr>
      <w:r>
        <w:rPr>
          <w:rFonts w:ascii="Calibri" w:hAnsi="Calibri" w:cs="Calibri"/>
          <w:color w:val="111111"/>
        </w:rPr>
        <w:t>•  Deposit disputes with repair estimates, evidence and settlement proposals</w:t>
      </w:r>
    </w:p>
    <w:p w14:paraId="09B290A1" w14:textId="77777777" w:rsidR="001F15E3" w:rsidRDefault="001F15E3" w:rsidP="001F15E3">
      <w:pPr>
        <w:spacing w:after="80"/>
        <w:rPr>
          <w:rFonts w:ascii="Calibri" w:hAnsi="Calibri" w:cs="Calibri"/>
          <w:color w:val="111111"/>
        </w:rPr>
      </w:pPr>
      <w:r>
        <w:rPr>
          <w:rFonts w:ascii="Calibri" w:hAnsi="Calibri" w:cs="Calibri"/>
          <w:color w:val="111111"/>
        </w:rPr>
        <w:t>•  Rent increases with notice scheduling and tenant accept/dispute responses</w:t>
      </w:r>
    </w:p>
    <w:p w14:paraId="0E5333FA" w14:textId="77777777" w:rsidR="001F15E3" w:rsidRDefault="001F15E3" w:rsidP="001F15E3">
      <w:pPr>
        <w:spacing w:after="80"/>
        <w:rPr>
          <w:rFonts w:ascii="Calibri" w:hAnsi="Calibri" w:cs="Calibri"/>
          <w:color w:val="111111"/>
        </w:rPr>
      </w:pPr>
      <w:r>
        <w:rPr>
          <w:rFonts w:ascii="Calibri" w:hAnsi="Calibri" w:cs="Calibri"/>
          <w:color w:val="111111"/>
        </w:rPr>
        <w:t>•  Booking requests resolved into approval workflows with decisions</w:t>
      </w:r>
    </w:p>
    <w:p w14:paraId="43B89C5D" w14:textId="77777777" w:rsidR="001F15E3" w:rsidRDefault="001F15E3" w:rsidP="001F15E3">
      <w:pPr>
        <w:spacing w:after="80"/>
        <w:rPr>
          <w:rFonts w:ascii="Calibri" w:hAnsi="Calibri" w:cs="Calibri"/>
          <w:color w:val="111111"/>
        </w:rPr>
      </w:pPr>
      <w:r>
        <w:rPr>
          <w:rFonts w:ascii="Calibri" w:hAnsi="Calibri" w:cs="Calibri"/>
          <w:color w:val="111111"/>
        </w:rPr>
        <w:t>•  Notification center (SSE live delivery with polling fallback)</w:t>
      </w:r>
    </w:p>
    <w:p w14:paraId="2DA2DC82" w14:textId="77777777" w:rsidR="001F15E3" w:rsidRDefault="001F15E3" w:rsidP="001F15E3">
      <w:pPr>
        <w:spacing w:after="80"/>
        <w:rPr>
          <w:rFonts w:ascii="Calibri" w:hAnsi="Calibri" w:cs="Calibri"/>
          <w:color w:val="111111"/>
        </w:rPr>
      </w:pPr>
      <w:r>
        <w:rPr>
          <w:rFonts w:ascii="Calibri" w:hAnsi="Calibri" w:cs="Calibri"/>
          <w:color w:val="111111"/>
        </w:rPr>
        <w:t>•  Contextual AI assistant built from the authenticated user's records</w:t>
      </w:r>
    </w:p>
    <w:p w14:paraId="739AEA2E" w14:textId="77777777" w:rsidR="001F15E3" w:rsidRDefault="001F15E3">
      <w:pPr>
        <w:rPr>
          <w:rFonts w:ascii="Calibri" w:hAnsi="Calibri" w:cs="Calibri"/>
          <w:color w:val="111111"/>
        </w:rPr>
      </w:pPr>
      <w:r>
        <w:rPr>
          <w:rFonts w:ascii="Calibri" w:hAnsi="Calibri" w:cs="Calibri"/>
          <w:color w:val="111111"/>
        </w:rPr>
        <w:br w:type="page"/>
      </w:r>
    </w:p>
    <w:p w14:paraId="71F83B64" w14:textId="77777777" w:rsidR="001F15E3" w:rsidRDefault="001F15E3" w:rsidP="001F15E3">
      <w:pPr>
        <w:spacing w:after="200"/>
        <w:rPr>
          <w:rFonts w:ascii="Calibri" w:hAnsi="Calibri" w:cs="Calibri"/>
          <w:b/>
          <w:color w:val="0F172A"/>
          <w:sz w:val="34"/>
        </w:rPr>
      </w:pPr>
      <w:r>
        <w:rPr>
          <w:rFonts w:ascii="Calibri" w:hAnsi="Calibri" w:cs="Calibri"/>
          <w:b/>
          <w:color w:val="0F172A"/>
          <w:sz w:val="34"/>
        </w:rPr>
        <w:lastRenderedPageBreak/>
        <w:t>5. Role-Based Access Control</w:t>
      </w:r>
    </w:p>
    <w:p w14:paraId="38112AE9" w14:textId="77777777" w:rsidR="001F15E3" w:rsidRDefault="001F15E3" w:rsidP="001F15E3">
      <w:pPr>
        <w:rPr>
          <w:rFonts w:ascii="Calibri" w:hAnsi="Calibri" w:cs="Calibri"/>
          <w:color w:val="111111"/>
        </w:rPr>
      </w:pPr>
      <w:r>
        <w:rPr>
          <w:rFonts w:ascii="Calibri" w:hAnsi="Calibri" w:cs="Calibri"/>
          <w:color w:val="111111"/>
        </w:rPr>
        <w:t>Access follows a least-privilege model enforced at four independent layers: token validation, controller role gates, service-level organization assertions, and scope-aware caching. Public self-registration is limited to tenants; owner and admin accounts are always provisioned by existing managers through the user-management API.</w:t>
      </w:r>
    </w:p>
    <w:p w14:paraId="328EAA64" w14:textId="77777777" w:rsidR="001F15E3" w:rsidRDefault="001F15E3" w:rsidP="001F15E3">
      <w:pPr>
        <w:spacing w:after="80"/>
        <w:jc w:val="center"/>
        <w:rPr>
          <w:rFonts w:ascii="Calibri" w:hAnsi="Calibri" w:cs="Calibri"/>
          <w:color w:val="111111"/>
        </w:rPr>
      </w:pPr>
    </w:p>
    <w:p w14:paraId="48FA6892" w14:textId="77777777" w:rsidR="001F15E3" w:rsidRDefault="001F15E3" w:rsidP="001F15E3">
      <w:pPr>
        <w:spacing w:after="240"/>
        <w:jc w:val="center"/>
        <w:rPr>
          <w:rFonts w:ascii="Calibri" w:hAnsi="Calibri" w:cs="Calibri"/>
          <w:i/>
          <w:color w:val="64748B"/>
          <w:sz w:val="19"/>
        </w:rPr>
      </w:pPr>
      <w:r>
        <w:rPr>
          <w:rFonts w:ascii="Calibri" w:hAnsi="Calibri" w:cs="Calibri"/>
          <w:i/>
          <w:color w:val="64748B"/>
          <w:sz w:val="19"/>
        </w:rPr>
        <w:t>Figure 2: Role capabilities and enforcement points after hardening.</w:t>
      </w:r>
    </w:p>
    <w:p w14:paraId="3605B010" w14:textId="77777777" w:rsidR="001F15E3" w:rsidRDefault="001F15E3" w:rsidP="001F15E3">
      <w:pPr>
        <w:rPr>
          <w:rFonts w:ascii="Calibri" w:hAnsi="Calibri" w:cs="Calibri"/>
          <w:b/>
          <w:color w:val="0E7490"/>
          <w:sz w:val="27"/>
        </w:rPr>
      </w:pPr>
      <w:r>
        <w:rPr>
          <w:rFonts w:ascii="Calibri" w:hAnsi="Calibri" w:cs="Calibri"/>
          <w:b/>
          <w:color w:val="0E7490"/>
          <w:sz w:val="27"/>
        </w:rPr>
        <w:t>Permission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4"/>
        <w:gridCol w:w="2254"/>
        <w:gridCol w:w="2254"/>
        <w:gridCol w:w="2254"/>
      </w:tblGrid>
      <w:tr w:rsidR="001F15E3" w14:paraId="51DA2FB5" w14:textId="77777777" w:rsidTr="001F15E3">
        <w:tblPrEx>
          <w:tblCellMar>
            <w:top w:w="0" w:type="dxa"/>
            <w:bottom w:w="0" w:type="dxa"/>
          </w:tblCellMar>
        </w:tblPrEx>
        <w:tc>
          <w:tcPr>
            <w:tcW w:w="1250" w:type="pct"/>
            <w:shd w:val="clear" w:color="auto" w:fill="E2E8F0"/>
          </w:tcPr>
          <w:p w14:paraId="777E6DC7" w14:textId="32529B7D"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Capability</w:t>
            </w:r>
          </w:p>
        </w:tc>
        <w:tc>
          <w:tcPr>
            <w:tcW w:w="1250" w:type="pct"/>
            <w:shd w:val="clear" w:color="auto" w:fill="E2E8F0"/>
          </w:tcPr>
          <w:p w14:paraId="484674A3" w14:textId="2623C8C1"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Admin</w:t>
            </w:r>
          </w:p>
        </w:tc>
        <w:tc>
          <w:tcPr>
            <w:tcW w:w="1250" w:type="pct"/>
            <w:shd w:val="clear" w:color="auto" w:fill="E2E8F0"/>
          </w:tcPr>
          <w:p w14:paraId="51F5691B" w14:textId="45D94C62"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Owner</w:t>
            </w:r>
          </w:p>
        </w:tc>
        <w:tc>
          <w:tcPr>
            <w:tcW w:w="1250" w:type="pct"/>
            <w:shd w:val="clear" w:color="auto" w:fill="E2E8F0"/>
          </w:tcPr>
          <w:p w14:paraId="4ECE0D1F" w14:textId="3C543540"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Tenant</w:t>
            </w:r>
          </w:p>
        </w:tc>
      </w:tr>
      <w:tr w:rsidR="001F15E3" w14:paraId="7483B7A0" w14:textId="77777777" w:rsidTr="001F15E3">
        <w:tblPrEx>
          <w:tblCellMar>
            <w:top w:w="0" w:type="dxa"/>
            <w:bottom w:w="0" w:type="dxa"/>
          </w:tblCellMar>
        </w:tblPrEx>
        <w:tc>
          <w:tcPr>
            <w:tcW w:w="1250" w:type="pct"/>
          </w:tcPr>
          <w:p w14:paraId="3A651D9A" w14:textId="058BB670" w:rsidR="001F15E3" w:rsidRPr="001F15E3" w:rsidRDefault="001F15E3" w:rsidP="001F15E3">
            <w:pPr>
              <w:rPr>
                <w:rFonts w:ascii="Calibri" w:hAnsi="Calibri" w:cs="Calibri"/>
                <w:color w:val="111111"/>
                <w:sz w:val="19"/>
              </w:rPr>
            </w:pPr>
            <w:r w:rsidRPr="001F15E3">
              <w:rPr>
                <w:rFonts w:ascii="Calibri" w:hAnsi="Calibri" w:cs="Calibri"/>
                <w:color w:val="111111"/>
                <w:sz w:val="19"/>
              </w:rPr>
              <w:t>Self-registration</w:t>
            </w:r>
          </w:p>
        </w:tc>
        <w:tc>
          <w:tcPr>
            <w:tcW w:w="1250" w:type="pct"/>
          </w:tcPr>
          <w:p w14:paraId="542D7788" w14:textId="5BE2A686" w:rsidR="001F15E3" w:rsidRPr="001F15E3" w:rsidRDefault="001F15E3" w:rsidP="001F15E3">
            <w:pPr>
              <w:rPr>
                <w:rFonts w:ascii="Calibri" w:hAnsi="Calibri" w:cs="Calibri"/>
                <w:color w:val="111111"/>
                <w:sz w:val="19"/>
              </w:rPr>
            </w:pPr>
            <w:r w:rsidRPr="001F15E3">
              <w:rPr>
                <w:rFonts w:ascii="Calibri" w:hAnsi="Calibri" w:cs="Calibri"/>
                <w:color w:val="111111"/>
                <w:sz w:val="19"/>
              </w:rPr>
              <w:t>First bootstrap user only</w:t>
            </w:r>
          </w:p>
        </w:tc>
        <w:tc>
          <w:tcPr>
            <w:tcW w:w="1250" w:type="pct"/>
          </w:tcPr>
          <w:p w14:paraId="6F4F8D65" w14:textId="211B5998" w:rsidR="001F15E3" w:rsidRPr="001F15E3" w:rsidRDefault="001F15E3" w:rsidP="001F15E3">
            <w:pPr>
              <w:rPr>
                <w:rFonts w:ascii="Calibri" w:hAnsi="Calibri" w:cs="Calibri"/>
                <w:color w:val="111111"/>
                <w:sz w:val="19"/>
              </w:rPr>
            </w:pPr>
            <w:r w:rsidRPr="001F15E3">
              <w:rPr>
                <w:rFonts w:ascii="Calibri" w:hAnsi="Calibri" w:cs="Calibri"/>
                <w:color w:val="111111"/>
                <w:sz w:val="19"/>
              </w:rPr>
              <w:t>Blocked (provisioned)</w:t>
            </w:r>
          </w:p>
        </w:tc>
        <w:tc>
          <w:tcPr>
            <w:tcW w:w="1250" w:type="pct"/>
          </w:tcPr>
          <w:p w14:paraId="59F05898" w14:textId="3148D9D0" w:rsidR="001F15E3" w:rsidRPr="001F15E3" w:rsidRDefault="001F15E3" w:rsidP="001F15E3">
            <w:pPr>
              <w:rPr>
                <w:rFonts w:ascii="Calibri" w:hAnsi="Calibri" w:cs="Calibri"/>
                <w:color w:val="111111"/>
                <w:sz w:val="19"/>
              </w:rPr>
            </w:pPr>
            <w:r w:rsidRPr="001F15E3">
              <w:rPr>
                <w:rFonts w:ascii="Calibri" w:hAnsi="Calibri" w:cs="Calibri"/>
                <w:color w:val="111111"/>
                <w:sz w:val="19"/>
              </w:rPr>
              <w:t>Allowed</w:t>
            </w:r>
          </w:p>
        </w:tc>
      </w:tr>
      <w:tr w:rsidR="001F15E3" w14:paraId="0EA35805" w14:textId="77777777" w:rsidTr="001F15E3">
        <w:tblPrEx>
          <w:tblCellMar>
            <w:top w:w="0" w:type="dxa"/>
            <w:bottom w:w="0" w:type="dxa"/>
          </w:tblCellMar>
        </w:tblPrEx>
        <w:tc>
          <w:tcPr>
            <w:tcW w:w="1250" w:type="pct"/>
          </w:tcPr>
          <w:p w14:paraId="7C28715A" w14:textId="52D8BFE0" w:rsidR="001F15E3" w:rsidRPr="001F15E3" w:rsidRDefault="001F15E3" w:rsidP="001F15E3">
            <w:pPr>
              <w:rPr>
                <w:rFonts w:ascii="Calibri" w:hAnsi="Calibri" w:cs="Calibri"/>
                <w:color w:val="111111"/>
                <w:sz w:val="19"/>
              </w:rPr>
            </w:pPr>
            <w:r w:rsidRPr="001F15E3">
              <w:rPr>
                <w:rFonts w:ascii="Calibri" w:hAnsi="Calibri" w:cs="Calibri"/>
                <w:color w:val="111111"/>
                <w:sz w:val="19"/>
              </w:rPr>
              <w:t>Manage organizations</w:t>
            </w:r>
          </w:p>
        </w:tc>
        <w:tc>
          <w:tcPr>
            <w:tcW w:w="1250" w:type="pct"/>
          </w:tcPr>
          <w:p w14:paraId="36919031" w14:textId="6045E0DF" w:rsidR="001F15E3" w:rsidRPr="001F15E3" w:rsidRDefault="001F15E3" w:rsidP="001F15E3">
            <w:pPr>
              <w:rPr>
                <w:rFonts w:ascii="Calibri" w:hAnsi="Calibri" w:cs="Calibri"/>
                <w:color w:val="111111"/>
                <w:sz w:val="19"/>
              </w:rPr>
            </w:pPr>
            <w:r w:rsidRPr="001F15E3">
              <w:rPr>
                <w:rFonts w:ascii="Calibri" w:hAnsi="Calibri" w:cs="Calibri"/>
                <w:color w:val="111111"/>
                <w:sz w:val="19"/>
              </w:rPr>
              <w:t>Yes</w:t>
            </w:r>
          </w:p>
        </w:tc>
        <w:tc>
          <w:tcPr>
            <w:tcW w:w="1250" w:type="pct"/>
          </w:tcPr>
          <w:p w14:paraId="09558371" w14:textId="73D0A573" w:rsidR="001F15E3" w:rsidRPr="001F15E3" w:rsidRDefault="001F15E3" w:rsidP="001F15E3">
            <w:pPr>
              <w:rPr>
                <w:rFonts w:ascii="Calibri" w:hAnsi="Calibri" w:cs="Calibri"/>
                <w:color w:val="111111"/>
                <w:sz w:val="19"/>
              </w:rPr>
            </w:pPr>
            <w:r w:rsidRPr="001F15E3">
              <w:rPr>
                <w:rFonts w:ascii="Calibri" w:hAnsi="Calibri" w:cs="Calibri"/>
                <w:color w:val="111111"/>
                <w:sz w:val="19"/>
              </w:rPr>
              <w:t>Yes</w:t>
            </w:r>
          </w:p>
        </w:tc>
        <w:tc>
          <w:tcPr>
            <w:tcW w:w="1250" w:type="pct"/>
          </w:tcPr>
          <w:p w14:paraId="30A03F26" w14:textId="26680FD6" w:rsidR="001F15E3" w:rsidRPr="001F15E3" w:rsidRDefault="001F15E3" w:rsidP="001F15E3">
            <w:pPr>
              <w:rPr>
                <w:rFonts w:ascii="Calibri" w:hAnsi="Calibri" w:cs="Calibri"/>
                <w:color w:val="111111"/>
                <w:sz w:val="19"/>
              </w:rPr>
            </w:pPr>
            <w:r w:rsidRPr="001F15E3">
              <w:rPr>
                <w:rFonts w:ascii="Calibri" w:hAnsi="Calibri" w:cs="Calibri"/>
                <w:color w:val="111111"/>
                <w:sz w:val="19"/>
              </w:rPr>
              <w:t>No</w:t>
            </w:r>
          </w:p>
        </w:tc>
      </w:tr>
      <w:tr w:rsidR="001F15E3" w14:paraId="206DA204" w14:textId="77777777" w:rsidTr="001F15E3">
        <w:tblPrEx>
          <w:tblCellMar>
            <w:top w:w="0" w:type="dxa"/>
            <w:bottom w:w="0" w:type="dxa"/>
          </w:tblCellMar>
        </w:tblPrEx>
        <w:tc>
          <w:tcPr>
            <w:tcW w:w="1250" w:type="pct"/>
          </w:tcPr>
          <w:p w14:paraId="2B7468AC" w14:textId="01343D51" w:rsidR="001F15E3" w:rsidRPr="001F15E3" w:rsidRDefault="001F15E3" w:rsidP="001F15E3">
            <w:pPr>
              <w:rPr>
                <w:rFonts w:ascii="Calibri" w:hAnsi="Calibri" w:cs="Calibri"/>
                <w:color w:val="111111"/>
                <w:sz w:val="19"/>
              </w:rPr>
            </w:pPr>
            <w:r w:rsidRPr="001F15E3">
              <w:rPr>
                <w:rFonts w:ascii="Calibri" w:hAnsi="Calibri" w:cs="Calibri"/>
                <w:color w:val="111111"/>
                <w:sz w:val="19"/>
              </w:rPr>
              <w:t>Manage users</w:t>
            </w:r>
          </w:p>
        </w:tc>
        <w:tc>
          <w:tcPr>
            <w:tcW w:w="1250" w:type="pct"/>
          </w:tcPr>
          <w:p w14:paraId="2BE05272" w14:textId="4C210539" w:rsidR="001F15E3" w:rsidRPr="001F15E3" w:rsidRDefault="001F15E3" w:rsidP="001F15E3">
            <w:pPr>
              <w:rPr>
                <w:rFonts w:ascii="Calibri" w:hAnsi="Calibri" w:cs="Calibri"/>
                <w:color w:val="111111"/>
                <w:sz w:val="19"/>
              </w:rPr>
            </w:pPr>
            <w:r w:rsidRPr="001F15E3">
              <w:rPr>
                <w:rFonts w:ascii="Calibri" w:hAnsi="Calibri" w:cs="Calibri"/>
                <w:color w:val="111111"/>
                <w:sz w:val="19"/>
              </w:rPr>
              <w:t>All roles incl. ADMIN</w:t>
            </w:r>
          </w:p>
        </w:tc>
        <w:tc>
          <w:tcPr>
            <w:tcW w:w="1250" w:type="pct"/>
          </w:tcPr>
          <w:p w14:paraId="57C7AF96" w14:textId="29D22969" w:rsidR="001F15E3" w:rsidRPr="001F15E3" w:rsidRDefault="001F15E3" w:rsidP="001F15E3">
            <w:pPr>
              <w:rPr>
                <w:rFonts w:ascii="Calibri" w:hAnsi="Calibri" w:cs="Calibri"/>
                <w:color w:val="111111"/>
                <w:sz w:val="19"/>
              </w:rPr>
            </w:pPr>
            <w:r w:rsidRPr="001F15E3">
              <w:rPr>
                <w:rFonts w:ascii="Calibri" w:hAnsi="Calibri" w:cs="Calibri"/>
                <w:color w:val="111111"/>
                <w:sz w:val="19"/>
              </w:rPr>
              <w:t>Own org, except ADMIN accounts</w:t>
            </w:r>
          </w:p>
        </w:tc>
        <w:tc>
          <w:tcPr>
            <w:tcW w:w="1250" w:type="pct"/>
          </w:tcPr>
          <w:p w14:paraId="22A7F4F8" w14:textId="7E8B6DF1" w:rsidR="001F15E3" w:rsidRPr="001F15E3" w:rsidRDefault="001F15E3" w:rsidP="001F15E3">
            <w:pPr>
              <w:rPr>
                <w:rFonts w:ascii="Calibri" w:hAnsi="Calibri" w:cs="Calibri"/>
                <w:color w:val="111111"/>
                <w:sz w:val="19"/>
              </w:rPr>
            </w:pPr>
            <w:r w:rsidRPr="001F15E3">
              <w:rPr>
                <w:rFonts w:ascii="Calibri" w:hAnsi="Calibri" w:cs="Calibri"/>
                <w:color w:val="111111"/>
                <w:sz w:val="19"/>
              </w:rPr>
              <w:t>No</w:t>
            </w:r>
          </w:p>
        </w:tc>
      </w:tr>
      <w:tr w:rsidR="001F15E3" w14:paraId="66174BA8" w14:textId="77777777" w:rsidTr="001F15E3">
        <w:tblPrEx>
          <w:tblCellMar>
            <w:top w:w="0" w:type="dxa"/>
            <w:bottom w:w="0" w:type="dxa"/>
          </w:tblCellMar>
        </w:tblPrEx>
        <w:tc>
          <w:tcPr>
            <w:tcW w:w="1250" w:type="pct"/>
          </w:tcPr>
          <w:p w14:paraId="28ED37B7" w14:textId="4605BDB9" w:rsidR="001F15E3" w:rsidRPr="001F15E3" w:rsidRDefault="001F15E3" w:rsidP="001F15E3">
            <w:pPr>
              <w:rPr>
                <w:rFonts w:ascii="Calibri" w:hAnsi="Calibri" w:cs="Calibri"/>
                <w:color w:val="111111"/>
                <w:sz w:val="19"/>
              </w:rPr>
            </w:pPr>
            <w:r w:rsidRPr="001F15E3">
              <w:rPr>
                <w:rFonts w:ascii="Calibri" w:hAnsi="Calibri" w:cs="Calibri"/>
                <w:color w:val="111111"/>
                <w:sz w:val="19"/>
              </w:rPr>
              <w:t>Create / modify ADMIN accounts</w:t>
            </w:r>
          </w:p>
        </w:tc>
        <w:tc>
          <w:tcPr>
            <w:tcW w:w="1250" w:type="pct"/>
          </w:tcPr>
          <w:p w14:paraId="2F7F2D2A" w14:textId="654C2FC2" w:rsidR="001F15E3" w:rsidRPr="001F15E3" w:rsidRDefault="001F15E3" w:rsidP="001F15E3">
            <w:pPr>
              <w:rPr>
                <w:rFonts w:ascii="Calibri" w:hAnsi="Calibri" w:cs="Calibri"/>
                <w:color w:val="111111"/>
                <w:sz w:val="19"/>
              </w:rPr>
            </w:pPr>
            <w:r w:rsidRPr="001F15E3">
              <w:rPr>
                <w:rFonts w:ascii="Calibri" w:hAnsi="Calibri" w:cs="Calibri"/>
                <w:color w:val="111111"/>
                <w:sz w:val="19"/>
              </w:rPr>
              <w:t>Yes</w:t>
            </w:r>
          </w:p>
        </w:tc>
        <w:tc>
          <w:tcPr>
            <w:tcW w:w="1250" w:type="pct"/>
          </w:tcPr>
          <w:p w14:paraId="3CF47B40" w14:textId="36D0FF3E" w:rsidR="001F15E3" w:rsidRPr="001F15E3" w:rsidRDefault="001F15E3" w:rsidP="001F15E3">
            <w:pPr>
              <w:rPr>
                <w:rFonts w:ascii="Calibri" w:hAnsi="Calibri" w:cs="Calibri"/>
                <w:color w:val="111111"/>
                <w:sz w:val="19"/>
              </w:rPr>
            </w:pPr>
            <w:r w:rsidRPr="001F15E3">
              <w:rPr>
                <w:rFonts w:ascii="Calibri" w:hAnsi="Calibri" w:cs="Calibri"/>
                <w:color w:val="111111"/>
                <w:sz w:val="19"/>
              </w:rPr>
              <w:t>No (403)</w:t>
            </w:r>
          </w:p>
        </w:tc>
        <w:tc>
          <w:tcPr>
            <w:tcW w:w="1250" w:type="pct"/>
          </w:tcPr>
          <w:p w14:paraId="0A291BAC" w14:textId="0ADCB83B" w:rsidR="001F15E3" w:rsidRPr="001F15E3" w:rsidRDefault="001F15E3" w:rsidP="001F15E3">
            <w:pPr>
              <w:rPr>
                <w:rFonts w:ascii="Calibri" w:hAnsi="Calibri" w:cs="Calibri"/>
                <w:color w:val="111111"/>
                <w:sz w:val="19"/>
              </w:rPr>
            </w:pPr>
            <w:r w:rsidRPr="001F15E3">
              <w:rPr>
                <w:rFonts w:ascii="Calibri" w:hAnsi="Calibri" w:cs="Calibri"/>
                <w:color w:val="111111"/>
                <w:sz w:val="19"/>
              </w:rPr>
              <w:t>No</w:t>
            </w:r>
          </w:p>
        </w:tc>
      </w:tr>
      <w:tr w:rsidR="001F15E3" w14:paraId="36149161" w14:textId="77777777" w:rsidTr="001F15E3">
        <w:tblPrEx>
          <w:tblCellMar>
            <w:top w:w="0" w:type="dxa"/>
            <w:bottom w:w="0" w:type="dxa"/>
          </w:tblCellMar>
        </w:tblPrEx>
        <w:tc>
          <w:tcPr>
            <w:tcW w:w="1250" w:type="pct"/>
          </w:tcPr>
          <w:p w14:paraId="26BE5263" w14:textId="50946695" w:rsidR="001F15E3" w:rsidRPr="001F15E3" w:rsidRDefault="001F15E3" w:rsidP="001F15E3">
            <w:pPr>
              <w:rPr>
                <w:rFonts w:ascii="Calibri" w:hAnsi="Calibri" w:cs="Calibri"/>
                <w:color w:val="111111"/>
                <w:sz w:val="19"/>
              </w:rPr>
            </w:pPr>
            <w:r w:rsidRPr="001F15E3">
              <w:rPr>
                <w:rFonts w:ascii="Calibri" w:hAnsi="Calibri" w:cs="Calibri"/>
                <w:color w:val="111111"/>
                <w:sz w:val="19"/>
              </w:rPr>
              <w:t>Property inventory</w:t>
            </w:r>
          </w:p>
        </w:tc>
        <w:tc>
          <w:tcPr>
            <w:tcW w:w="1250" w:type="pct"/>
          </w:tcPr>
          <w:p w14:paraId="6E6B5815" w14:textId="68302FFA" w:rsidR="001F15E3" w:rsidRPr="001F15E3" w:rsidRDefault="001F15E3" w:rsidP="001F15E3">
            <w:pPr>
              <w:rPr>
                <w:rFonts w:ascii="Calibri" w:hAnsi="Calibri" w:cs="Calibri"/>
                <w:color w:val="111111"/>
                <w:sz w:val="19"/>
              </w:rPr>
            </w:pPr>
            <w:r w:rsidRPr="001F15E3">
              <w:rPr>
                <w:rFonts w:ascii="Calibri" w:hAnsi="Calibri" w:cs="Calibri"/>
                <w:color w:val="111111"/>
                <w:sz w:val="19"/>
              </w:rPr>
              <w:t>All organizations</w:t>
            </w:r>
          </w:p>
        </w:tc>
        <w:tc>
          <w:tcPr>
            <w:tcW w:w="1250" w:type="pct"/>
          </w:tcPr>
          <w:p w14:paraId="271F1FB5" w14:textId="1BAD7F76" w:rsidR="001F15E3" w:rsidRPr="001F15E3" w:rsidRDefault="001F15E3" w:rsidP="001F15E3">
            <w:pPr>
              <w:rPr>
                <w:rFonts w:ascii="Calibri" w:hAnsi="Calibri" w:cs="Calibri"/>
                <w:color w:val="111111"/>
                <w:sz w:val="19"/>
              </w:rPr>
            </w:pPr>
            <w:r w:rsidRPr="001F15E3">
              <w:rPr>
                <w:rFonts w:ascii="Calibri" w:hAnsi="Calibri" w:cs="Calibri"/>
                <w:color w:val="111111"/>
                <w:sz w:val="19"/>
              </w:rPr>
              <w:t>Own organization</w:t>
            </w:r>
          </w:p>
        </w:tc>
        <w:tc>
          <w:tcPr>
            <w:tcW w:w="1250" w:type="pct"/>
          </w:tcPr>
          <w:p w14:paraId="701022D1" w14:textId="69FF8C16" w:rsidR="001F15E3" w:rsidRPr="001F15E3" w:rsidRDefault="001F15E3" w:rsidP="001F15E3">
            <w:pPr>
              <w:rPr>
                <w:rFonts w:ascii="Calibri" w:hAnsi="Calibri" w:cs="Calibri"/>
                <w:color w:val="111111"/>
                <w:sz w:val="19"/>
              </w:rPr>
            </w:pPr>
            <w:r w:rsidRPr="001F15E3">
              <w:rPr>
                <w:rFonts w:ascii="Calibri" w:hAnsi="Calibri" w:cs="Calibri"/>
                <w:color w:val="111111"/>
                <w:sz w:val="19"/>
              </w:rPr>
              <w:t>Browse available</w:t>
            </w:r>
          </w:p>
        </w:tc>
      </w:tr>
      <w:tr w:rsidR="001F15E3" w14:paraId="12FBECB2" w14:textId="77777777" w:rsidTr="001F15E3">
        <w:tblPrEx>
          <w:tblCellMar>
            <w:top w:w="0" w:type="dxa"/>
            <w:bottom w:w="0" w:type="dxa"/>
          </w:tblCellMar>
        </w:tblPrEx>
        <w:tc>
          <w:tcPr>
            <w:tcW w:w="1250" w:type="pct"/>
          </w:tcPr>
          <w:p w14:paraId="4E1A0DFB" w14:textId="0BAE0701" w:rsidR="001F15E3" w:rsidRPr="001F15E3" w:rsidRDefault="001F15E3" w:rsidP="001F15E3">
            <w:pPr>
              <w:rPr>
                <w:rFonts w:ascii="Calibri" w:hAnsi="Calibri" w:cs="Calibri"/>
                <w:color w:val="111111"/>
                <w:sz w:val="19"/>
              </w:rPr>
            </w:pPr>
            <w:r w:rsidRPr="001F15E3">
              <w:rPr>
                <w:rFonts w:ascii="Calibri" w:hAnsi="Calibri" w:cs="Calibri"/>
                <w:color w:val="111111"/>
                <w:sz w:val="19"/>
              </w:rPr>
              <w:t>Tenants, agreements, invoices, payments</w:t>
            </w:r>
          </w:p>
        </w:tc>
        <w:tc>
          <w:tcPr>
            <w:tcW w:w="1250" w:type="pct"/>
          </w:tcPr>
          <w:p w14:paraId="5897248F" w14:textId="2E4F7121" w:rsidR="001F15E3" w:rsidRPr="001F15E3" w:rsidRDefault="001F15E3" w:rsidP="001F15E3">
            <w:pPr>
              <w:rPr>
                <w:rFonts w:ascii="Calibri" w:hAnsi="Calibri" w:cs="Calibri"/>
                <w:color w:val="111111"/>
                <w:sz w:val="19"/>
              </w:rPr>
            </w:pPr>
            <w:r w:rsidRPr="001F15E3">
              <w:rPr>
                <w:rFonts w:ascii="Calibri" w:hAnsi="Calibri" w:cs="Calibri"/>
                <w:color w:val="111111"/>
                <w:sz w:val="19"/>
              </w:rPr>
              <w:t>All</w:t>
            </w:r>
          </w:p>
        </w:tc>
        <w:tc>
          <w:tcPr>
            <w:tcW w:w="1250" w:type="pct"/>
          </w:tcPr>
          <w:p w14:paraId="39625BA4" w14:textId="38B3C892" w:rsidR="001F15E3" w:rsidRPr="001F15E3" w:rsidRDefault="001F15E3" w:rsidP="001F15E3">
            <w:pPr>
              <w:rPr>
                <w:rFonts w:ascii="Calibri" w:hAnsi="Calibri" w:cs="Calibri"/>
                <w:color w:val="111111"/>
                <w:sz w:val="19"/>
              </w:rPr>
            </w:pPr>
            <w:r w:rsidRPr="001F15E3">
              <w:rPr>
                <w:rFonts w:ascii="Calibri" w:hAnsi="Calibri" w:cs="Calibri"/>
                <w:color w:val="111111"/>
                <w:sz w:val="19"/>
              </w:rPr>
              <w:t>Own organization</w:t>
            </w:r>
          </w:p>
        </w:tc>
        <w:tc>
          <w:tcPr>
            <w:tcW w:w="1250" w:type="pct"/>
          </w:tcPr>
          <w:p w14:paraId="0D626651" w14:textId="64224AC0" w:rsidR="001F15E3" w:rsidRPr="001F15E3" w:rsidRDefault="001F15E3" w:rsidP="001F15E3">
            <w:pPr>
              <w:rPr>
                <w:rFonts w:ascii="Calibri" w:hAnsi="Calibri" w:cs="Calibri"/>
                <w:color w:val="111111"/>
                <w:sz w:val="19"/>
              </w:rPr>
            </w:pPr>
            <w:r w:rsidRPr="001F15E3">
              <w:rPr>
                <w:rFonts w:ascii="Calibri" w:hAnsi="Calibri" w:cs="Calibri"/>
                <w:color w:val="111111"/>
                <w:sz w:val="19"/>
              </w:rPr>
              <w:t>Self-service (/me)</w:t>
            </w:r>
          </w:p>
        </w:tc>
      </w:tr>
      <w:tr w:rsidR="001F15E3" w14:paraId="1235B122" w14:textId="77777777" w:rsidTr="001F15E3">
        <w:tblPrEx>
          <w:tblCellMar>
            <w:top w:w="0" w:type="dxa"/>
            <w:bottom w:w="0" w:type="dxa"/>
          </w:tblCellMar>
        </w:tblPrEx>
        <w:tc>
          <w:tcPr>
            <w:tcW w:w="1250" w:type="pct"/>
          </w:tcPr>
          <w:p w14:paraId="65B43623" w14:textId="129A8D0E" w:rsidR="001F15E3" w:rsidRPr="001F15E3" w:rsidRDefault="001F15E3" w:rsidP="001F15E3">
            <w:pPr>
              <w:rPr>
                <w:rFonts w:ascii="Calibri" w:hAnsi="Calibri" w:cs="Calibri"/>
                <w:color w:val="111111"/>
                <w:sz w:val="19"/>
              </w:rPr>
            </w:pPr>
            <w:r w:rsidRPr="001F15E3">
              <w:rPr>
                <w:rFonts w:ascii="Calibri" w:hAnsi="Calibri" w:cs="Calibri"/>
                <w:color w:val="111111"/>
                <w:sz w:val="19"/>
              </w:rPr>
              <w:t>Complaints and deposit disputes</w:t>
            </w:r>
          </w:p>
        </w:tc>
        <w:tc>
          <w:tcPr>
            <w:tcW w:w="1250" w:type="pct"/>
          </w:tcPr>
          <w:p w14:paraId="4D8DD5E0" w14:textId="4E221BBD" w:rsidR="001F15E3" w:rsidRPr="001F15E3" w:rsidRDefault="001F15E3" w:rsidP="001F15E3">
            <w:pPr>
              <w:rPr>
                <w:rFonts w:ascii="Calibri" w:hAnsi="Calibri" w:cs="Calibri"/>
                <w:color w:val="111111"/>
                <w:sz w:val="19"/>
              </w:rPr>
            </w:pPr>
            <w:r w:rsidRPr="001F15E3">
              <w:rPr>
                <w:rFonts w:ascii="Calibri" w:hAnsi="Calibri" w:cs="Calibri"/>
                <w:color w:val="111111"/>
                <w:sz w:val="19"/>
              </w:rPr>
              <w:t>Manage all</w:t>
            </w:r>
          </w:p>
        </w:tc>
        <w:tc>
          <w:tcPr>
            <w:tcW w:w="1250" w:type="pct"/>
          </w:tcPr>
          <w:p w14:paraId="5552C133" w14:textId="0D8F10B5" w:rsidR="001F15E3" w:rsidRPr="001F15E3" w:rsidRDefault="001F15E3" w:rsidP="001F15E3">
            <w:pPr>
              <w:rPr>
                <w:rFonts w:ascii="Calibri" w:hAnsi="Calibri" w:cs="Calibri"/>
                <w:color w:val="111111"/>
                <w:sz w:val="19"/>
              </w:rPr>
            </w:pPr>
            <w:r w:rsidRPr="001F15E3">
              <w:rPr>
                <w:rFonts w:ascii="Calibri" w:hAnsi="Calibri" w:cs="Calibri"/>
                <w:color w:val="111111"/>
                <w:sz w:val="19"/>
              </w:rPr>
              <w:t>Manage own org</w:t>
            </w:r>
          </w:p>
        </w:tc>
        <w:tc>
          <w:tcPr>
            <w:tcW w:w="1250" w:type="pct"/>
          </w:tcPr>
          <w:p w14:paraId="62CA9EA9" w14:textId="4480AA93" w:rsidR="001F15E3" w:rsidRPr="001F15E3" w:rsidRDefault="001F15E3" w:rsidP="001F15E3">
            <w:pPr>
              <w:rPr>
                <w:rFonts w:ascii="Calibri" w:hAnsi="Calibri" w:cs="Calibri"/>
                <w:color w:val="111111"/>
                <w:sz w:val="19"/>
              </w:rPr>
            </w:pPr>
            <w:r w:rsidRPr="001F15E3">
              <w:rPr>
                <w:rFonts w:ascii="Calibri" w:hAnsi="Calibri" w:cs="Calibri"/>
                <w:color w:val="111111"/>
                <w:sz w:val="19"/>
              </w:rPr>
              <w:t>Submit and view own</w:t>
            </w:r>
          </w:p>
        </w:tc>
      </w:tr>
      <w:tr w:rsidR="001F15E3" w14:paraId="373F9B39" w14:textId="77777777" w:rsidTr="001F15E3">
        <w:tblPrEx>
          <w:tblCellMar>
            <w:top w:w="0" w:type="dxa"/>
            <w:bottom w:w="0" w:type="dxa"/>
          </w:tblCellMar>
        </w:tblPrEx>
        <w:tc>
          <w:tcPr>
            <w:tcW w:w="1250" w:type="pct"/>
          </w:tcPr>
          <w:p w14:paraId="30D922DE" w14:textId="171C936F" w:rsidR="001F15E3" w:rsidRPr="001F15E3" w:rsidRDefault="001F15E3" w:rsidP="001F15E3">
            <w:pPr>
              <w:rPr>
                <w:rFonts w:ascii="Calibri" w:hAnsi="Calibri" w:cs="Calibri"/>
                <w:color w:val="111111"/>
                <w:sz w:val="19"/>
              </w:rPr>
            </w:pPr>
            <w:r w:rsidRPr="001F15E3">
              <w:rPr>
                <w:rFonts w:ascii="Calibri" w:hAnsi="Calibri" w:cs="Calibri"/>
                <w:color w:val="111111"/>
                <w:sz w:val="19"/>
              </w:rPr>
              <w:t>Approvals</w:t>
            </w:r>
          </w:p>
        </w:tc>
        <w:tc>
          <w:tcPr>
            <w:tcW w:w="1250" w:type="pct"/>
          </w:tcPr>
          <w:p w14:paraId="151B7D5C" w14:textId="3E50CE7C" w:rsidR="001F15E3" w:rsidRPr="001F15E3" w:rsidRDefault="001F15E3" w:rsidP="001F15E3">
            <w:pPr>
              <w:rPr>
                <w:rFonts w:ascii="Calibri" w:hAnsi="Calibri" w:cs="Calibri"/>
                <w:color w:val="111111"/>
                <w:sz w:val="19"/>
              </w:rPr>
            </w:pPr>
            <w:r w:rsidRPr="001F15E3">
              <w:rPr>
                <w:rFonts w:ascii="Calibri" w:hAnsi="Calibri" w:cs="Calibri"/>
                <w:color w:val="111111"/>
                <w:sz w:val="19"/>
              </w:rPr>
              <w:t>Decide all</w:t>
            </w:r>
          </w:p>
        </w:tc>
        <w:tc>
          <w:tcPr>
            <w:tcW w:w="1250" w:type="pct"/>
          </w:tcPr>
          <w:p w14:paraId="5AA4FCAD" w14:textId="3D0E37A0" w:rsidR="001F15E3" w:rsidRPr="001F15E3" w:rsidRDefault="001F15E3" w:rsidP="001F15E3">
            <w:pPr>
              <w:rPr>
                <w:rFonts w:ascii="Calibri" w:hAnsi="Calibri" w:cs="Calibri"/>
                <w:color w:val="111111"/>
                <w:sz w:val="19"/>
              </w:rPr>
            </w:pPr>
            <w:r w:rsidRPr="001F15E3">
              <w:rPr>
                <w:rFonts w:ascii="Calibri" w:hAnsi="Calibri" w:cs="Calibri"/>
                <w:color w:val="111111"/>
                <w:sz w:val="19"/>
              </w:rPr>
              <w:t>Decide own org</w:t>
            </w:r>
          </w:p>
        </w:tc>
        <w:tc>
          <w:tcPr>
            <w:tcW w:w="1250" w:type="pct"/>
          </w:tcPr>
          <w:p w14:paraId="067E52EA" w14:textId="6578C107" w:rsidR="001F15E3" w:rsidRPr="001F15E3" w:rsidRDefault="001F15E3" w:rsidP="001F15E3">
            <w:pPr>
              <w:rPr>
                <w:rFonts w:ascii="Calibri" w:hAnsi="Calibri" w:cs="Calibri"/>
                <w:color w:val="111111"/>
                <w:sz w:val="19"/>
              </w:rPr>
            </w:pPr>
            <w:r w:rsidRPr="001F15E3">
              <w:rPr>
                <w:rFonts w:ascii="Calibri" w:hAnsi="Calibri" w:cs="Calibri"/>
                <w:color w:val="111111"/>
                <w:sz w:val="19"/>
              </w:rPr>
              <w:t>View and request own</w:t>
            </w:r>
          </w:p>
        </w:tc>
      </w:tr>
      <w:tr w:rsidR="001F15E3" w14:paraId="18065BE7" w14:textId="77777777" w:rsidTr="001F15E3">
        <w:tblPrEx>
          <w:tblCellMar>
            <w:top w:w="0" w:type="dxa"/>
            <w:bottom w:w="0" w:type="dxa"/>
          </w:tblCellMar>
        </w:tblPrEx>
        <w:tc>
          <w:tcPr>
            <w:tcW w:w="1250" w:type="pct"/>
          </w:tcPr>
          <w:p w14:paraId="1E32A6BC" w14:textId="64920374" w:rsidR="001F15E3" w:rsidRPr="001F15E3" w:rsidRDefault="001F15E3" w:rsidP="001F15E3">
            <w:pPr>
              <w:rPr>
                <w:rFonts w:ascii="Calibri" w:hAnsi="Calibri" w:cs="Calibri"/>
                <w:color w:val="111111"/>
                <w:sz w:val="19"/>
              </w:rPr>
            </w:pPr>
            <w:r w:rsidRPr="001F15E3">
              <w:rPr>
                <w:rFonts w:ascii="Calibri" w:hAnsi="Calibri" w:cs="Calibri"/>
                <w:color w:val="111111"/>
                <w:sz w:val="19"/>
              </w:rPr>
              <w:t>Rent increases</w:t>
            </w:r>
          </w:p>
        </w:tc>
        <w:tc>
          <w:tcPr>
            <w:tcW w:w="1250" w:type="pct"/>
          </w:tcPr>
          <w:p w14:paraId="183349A6" w14:textId="509B7825" w:rsidR="001F15E3" w:rsidRPr="001F15E3" w:rsidRDefault="001F15E3" w:rsidP="001F15E3">
            <w:pPr>
              <w:rPr>
                <w:rFonts w:ascii="Calibri" w:hAnsi="Calibri" w:cs="Calibri"/>
                <w:color w:val="111111"/>
                <w:sz w:val="19"/>
              </w:rPr>
            </w:pPr>
            <w:r w:rsidRPr="001F15E3">
              <w:rPr>
                <w:rFonts w:ascii="Calibri" w:hAnsi="Calibri" w:cs="Calibri"/>
                <w:color w:val="111111"/>
                <w:sz w:val="19"/>
              </w:rPr>
              <w:t>Issue / delete</w:t>
            </w:r>
          </w:p>
        </w:tc>
        <w:tc>
          <w:tcPr>
            <w:tcW w:w="1250" w:type="pct"/>
          </w:tcPr>
          <w:p w14:paraId="029D267F" w14:textId="775CF8B5" w:rsidR="001F15E3" w:rsidRPr="001F15E3" w:rsidRDefault="001F15E3" w:rsidP="001F15E3">
            <w:pPr>
              <w:rPr>
                <w:rFonts w:ascii="Calibri" w:hAnsi="Calibri" w:cs="Calibri"/>
                <w:color w:val="111111"/>
                <w:sz w:val="19"/>
              </w:rPr>
            </w:pPr>
            <w:r w:rsidRPr="001F15E3">
              <w:rPr>
                <w:rFonts w:ascii="Calibri" w:hAnsi="Calibri" w:cs="Calibri"/>
                <w:color w:val="111111"/>
                <w:sz w:val="19"/>
              </w:rPr>
              <w:t>Issue / delete (own org)</w:t>
            </w:r>
          </w:p>
        </w:tc>
        <w:tc>
          <w:tcPr>
            <w:tcW w:w="1250" w:type="pct"/>
          </w:tcPr>
          <w:p w14:paraId="61DA8AA9" w14:textId="44BE2CB8" w:rsidR="001F15E3" w:rsidRPr="001F15E3" w:rsidRDefault="001F15E3" w:rsidP="001F15E3">
            <w:pPr>
              <w:rPr>
                <w:rFonts w:ascii="Calibri" w:hAnsi="Calibri" w:cs="Calibri"/>
                <w:color w:val="111111"/>
                <w:sz w:val="19"/>
              </w:rPr>
            </w:pPr>
            <w:r w:rsidRPr="001F15E3">
              <w:rPr>
                <w:rFonts w:ascii="Calibri" w:hAnsi="Calibri" w:cs="Calibri"/>
                <w:color w:val="111111"/>
                <w:sz w:val="19"/>
              </w:rPr>
              <w:t>Respond ACCEPTED / DISPUTED</w:t>
            </w:r>
          </w:p>
        </w:tc>
      </w:tr>
      <w:tr w:rsidR="001F15E3" w14:paraId="128FD106" w14:textId="77777777" w:rsidTr="001F15E3">
        <w:tblPrEx>
          <w:tblCellMar>
            <w:top w:w="0" w:type="dxa"/>
            <w:bottom w:w="0" w:type="dxa"/>
          </w:tblCellMar>
        </w:tblPrEx>
        <w:tc>
          <w:tcPr>
            <w:tcW w:w="1250" w:type="pct"/>
          </w:tcPr>
          <w:p w14:paraId="4700639E" w14:textId="4EC65726" w:rsidR="001F15E3" w:rsidRPr="001F15E3" w:rsidRDefault="001F15E3" w:rsidP="001F15E3">
            <w:pPr>
              <w:rPr>
                <w:rFonts w:ascii="Calibri" w:hAnsi="Calibri" w:cs="Calibri"/>
                <w:color w:val="111111"/>
                <w:sz w:val="19"/>
              </w:rPr>
            </w:pPr>
            <w:r w:rsidRPr="001F15E3">
              <w:rPr>
                <w:rFonts w:ascii="Calibri" w:hAnsi="Calibri" w:cs="Calibri"/>
                <w:color w:val="111111"/>
                <w:sz w:val="19"/>
              </w:rPr>
              <w:t>Cross-organization record access</w:t>
            </w:r>
          </w:p>
        </w:tc>
        <w:tc>
          <w:tcPr>
            <w:tcW w:w="1250" w:type="pct"/>
          </w:tcPr>
          <w:p w14:paraId="74FA6ECD" w14:textId="2A0A3183" w:rsidR="001F15E3" w:rsidRPr="001F15E3" w:rsidRDefault="001F15E3" w:rsidP="001F15E3">
            <w:pPr>
              <w:rPr>
                <w:rFonts w:ascii="Calibri" w:hAnsi="Calibri" w:cs="Calibri"/>
                <w:color w:val="111111"/>
                <w:sz w:val="19"/>
              </w:rPr>
            </w:pPr>
            <w:r w:rsidRPr="001F15E3">
              <w:rPr>
                <w:rFonts w:ascii="Calibri" w:hAnsi="Calibri" w:cs="Calibri"/>
                <w:color w:val="111111"/>
                <w:sz w:val="19"/>
              </w:rPr>
              <w:t>Allowed</w:t>
            </w:r>
          </w:p>
        </w:tc>
        <w:tc>
          <w:tcPr>
            <w:tcW w:w="1250" w:type="pct"/>
          </w:tcPr>
          <w:p w14:paraId="46799679" w14:textId="641A26DC" w:rsidR="001F15E3" w:rsidRPr="001F15E3" w:rsidRDefault="001F15E3" w:rsidP="001F15E3">
            <w:pPr>
              <w:rPr>
                <w:rFonts w:ascii="Calibri" w:hAnsi="Calibri" w:cs="Calibri"/>
                <w:color w:val="111111"/>
                <w:sz w:val="19"/>
              </w:rPr>
            </w:pPr>
            <w:r w:rsidRPr="001F15E3">
              <w:rPr>
                <w:rFonts w:ascii="Calibri" w:hAnsi="Calibri" w:cs="Calibri"/>
                <w:color w:val="111111"/>
                <w:sz w:val="19"/>
              </w:rPr>
              <w:t>Blocked with 403</w:t>
            </w:r>
          </w:p>
        </w:tc>
        <w:tc>
          <w:tcPr>
            <w:tcW w:w="1250" w:type="pct"/>
          </w:tcPr>
          <w:p w14:paraId="418E7E4B" w14:textId="5A51AF92" w:rsidR="001F15E3" w:rsidRPr="001F15E3" w:rsidRDefault="001F15E3" w:rsidP="001F15E3">
            <w:pPr>
              <w:rPr>
                <w:rFonts w:ascii="Calibri" w:hAnsi="Calibri" w:cs="Calibri"/>
                <w:color w:val="111111"/>
                <w:sz w:val="19"/>
              </w:rPr>
            </w:pPr>
            <w:r w:rsidRPr="001F15E3">
              <w:rPr>
                <w:rFonts w:ascii="Calibri" w:hAnsi="Calibri" w:cs="Calibri"/>
                <w:color w:val="111111"/>
                <w:sz w:val="19"/>
              </w:rPr>
              <w:t>Not applicable</w:t>
            </w:r>
          </w:p>
        </w:tc>
      </w:tr>
    </w:tbl>
    <w:p w14:paraId="4D78DA09" w14:textId="603395C6" w:rsidR="001F15E3" w:rsidRDefault="001F15E3" w:rsidP="001F15E3">
      <w:pPr>
        <w:rPr>
          <w:rFonts w:ascii="Calibri" w:hAnsi="Calibri" w:cs="Calibri"/>
          <w:color w:val="111111"/>
        </w:rPr>
      </w:pPr>
      <w:r>
        <w:rPr>
          <w:rFonts w:ascii="Calibri" w:hAnsi="Calibri" w:cs="Calibri"/>
          <w:noProof/>
          <w:color w:val="111111"/>
        </w:rPr>
        <w:lastRenderedPageBreak/>
        <w:drawing>
          <wp:inline distT="0" distB="0" distL="0" distR="0" wp14:anchorId="4010D464" wp14:editId="680AFC8A">
            <wp:extent cx="5778500" cy="3595370"/>
            <wp:effectExtent l="0" t="0" r="0" b="5080"/>
            <wp:docPr id="2061434115" name="Picture 2"/>
            <wp:cNvGraphicFramePr/>
            <a:graphic xmlns:a="http://schemas.openxmlformats.org/drawingml/2006/main">
              <a:graphicData uri="http://schemas.openxmlformats.org/drawingml/2006/picture">
                <pic:pic xmlns:pic="http://schemas.openxmlformats.org/drawingml/2006/picture">
                  <pic:nvPicPr>
                    <pic:cNvPr id="206143411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78500" cy="3595370"/>
                    </a:xfrm>
                    <a:prstGeom prst="rect">
                      <a:avLst/>
                    </a:prstGeom>
                  </pic:spPr>
                </pic:pic>
              </a:graphicData>
            </a:graphic>
          </wp:inline>
        </w:drawing>
      </w:r>
      <w:r>
        <w:rPr>
          <w:rFonts w:ascii="Calibri" w:hAnsi="Calibri" w:cs="Calibri"/>
          <w:noProof/>
          <w:color w:val="111111"/>
        </w:rPr>
        <w:drawing>
          <wp:inline distT="0" distB="0" distL="0" distR="0" wp14:anchorId="33701726" wp14:editId="1DBFF447">
            <wp:extent cx="5778500" cy="3788410"/>
            <wp:effectExtent l="0" t="0" r="0" b="2540"/>
            <wp:docPr id="2116937433" name="Picture 1"/>
            <wp:cNvGraphicFramePr/>
            <a:graphic xmlns:a="http://schemas.openxmlformats.org/drawingml/2006/main">
              <a:graphicData uri="http://schemas.openxmlformats.org/drawingml/2006/picture">
                <pic:pic xmlns:pic="http://schemas.openxmlformats.org/drawingml/2006/picture">
                  <pic:nvPicPr>
                    <pic:cNvPr id="211693743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8500" cy="3788410"/>
                    </a:xfrm>
                    <a:prstGeom prst="rect">
                      <a:avLst/>
                    </a:prstGeom>
                  </pic:spPr>
                </pic:pic>
              </a:graphicData>
            </a:graphic>
          </wp:inline>
        </w:drawing>
      </w:r>
    </w:p>
    <w:p w14:paraId="68643AE8" w14:textId="6834CD31" w:rsidR="001F15E3" w:rsidRDefault="001F15E3" w:rsidP="001F15E3">
      <w:pPr>
        <w:rPr>
          <w:rFonts w:ascii="Calibri" w:hAnsi="Calibri" w:cs="Calibri"/>
          <w:b/>
          <w:color w:val="0E7490"/>
          <w:sz w:val="27"/>
        </w:rPr>
      </w:pPr>
      <w:r>
        <w:rPr>
          <w:rFonts w:ascii="Calibri" w:hAnsi="Calibri" w:cs="Calibri"/>
          <w:b/>
          <w:color w:val="0E7490"/>
          <w:sz w:val="27"/>
        </w:rPr>
        <w:t>Recent hardening (this iteration)</w:t>
      </w:r>
    </w:p>
    <w:p w14:paraId="321335CB" w14:textId="260372E2" w:rsidR="001F15E3" w:rsidRDefault="001F15E3" w:rsidP="001F15E3">
      <w:pPr>
        <w:spacing w:after="80"/>
        <w:rPr>
          <w:rFonts w:ascii="Calibri" w:hAnsi="Calibri" w:cs="Calibri"/>
          <w:color w:val="111111"/>
        </w:rPr>
      </w:pPr>
      <w:r>
        <w:rPr>
          <w:rFonts w:ascii="Calibri" w:hAnsi="Calibri" w:cs="Calibri"/>
          <w:color w:val="111111"/>
        </w:rPr>
        <w:t>•  Privilege escalation removed: only administrators can create, update or delete ADMIN-role users, closing takeover and self-promotion paths.</w:t>
      </w:r>
    </w:p>
    <w:p w14:paraId="56892D67" w14:textId="679FA75A" w:rsidR="001F15E3" w:rsidRDefault="001F15E3" w:rsidP="001F15E3">
      <w:pPr>
        <w:spacing w:after="80"/>
        <w:rPr>
          <w:rFonts w:ascii="Calibri" w:hAnsi="Calibri" w:cs="Calibri"/>
          <w:color w:val="111111"/>
        </w:rPr>
      </w:pPr>
      <w:r>
        <w:rPr>
          <w:rFonts w:ascii="Calibri" w:hAnsi="Calibri" w:cs="Calibri"/>
          <w:color w:val="111111"/>
        </w:rPr>
        <w:t>•  Owner self-registration blocked: OWNER now behaves like ADMIN during registration; owners must be provisioned by a manager.</w:t>
      </w:r>
    </w:p>
    <w:p w14:paraId="30E7CD43" w14:textId="47BA44C1" w:rsidR="001F15E3" w:rsidRDefault="001F15E3" w:rsidP="001F15E3">
      <w:pPr>
        <w:spacing w:after="80"/>
        <w:rPr>
          <w:rFonts w:ascii="Calibri" w:hAnsi="Calibri" w:cs="Calibri"/>
          <w:color w:val="111111"/>
        </w:rPr>
      </w:pPr>
      <w:r>
        <w:rPr>
          <w:rFonts w:ascii="Calibri" w:hAnsi="Calibri" w:cs="Calibri"/>
          <w:color w:val="111111"/>
        </w:rPr>
        <w:lastRenderedPageBreak/>
        <w:t>•  Organization isolation: list endpoints filter by the caller's organizationId, and findById/update/delete assert membership, returning 403 for foreign records.</w:t>
      </w:r>
    </w:p>
    <w:p w14:paraId="3B99D3A3" w14:textId="1758DB66" w:rsidR="001F15E3" w:rsidRDefault="001F15E3" w:rsidP="001F15E3">
      <w:pPr>
        <w:spacing w:after="80"/>
        <w:rPr>
          <w:rFonts w:ascii="Calibri" w:hAnsi="Calibri" w:cs="Calibri"/>
          <w:color w:val="111111"/>
        </w:rPr>
      </w:pPr>
      <w:r>
        <w:rPr>
          <w:rFonts w:ascii="Calibri" w:hAnsi="Calibri" w:cs="Calibri"/>
          <w:color w:val="111111"/>
        </w:rPr>
        <w:t>•  Cache isolation: shared Caffeine caches key entries by caller scope so cached lists cannot leak between organizations.</w:t>
      </w:r>
    </w:p>
    <w:p w14:paraId="725CCD17" w14:textId="6D34CF62" w:rsidR="001F15E3" w:rsidRDefault="001F15E3" w:rsidP="001F15E3">
      <w:pPr>
        <w:rPr>
          <w:rFonts w:ascii="Calibri" w:hAnsi="Calibri" w:cs="Calibri"/>
          <w:b/>
          <w:color w:val="0E7490"/>
          <w:sz w:val="27"/>
        </w:rPr>
      </w:pPr>
      <w:r>
        <w:rPr>
          <w:rFonts w:ascii="Calibri" w:hAnsi="Calibri" w:cs="Calibri"/>
          <w:b/>
          <w:color w:val="0E7490"/>
          <w:sz w:val="27"/>
        </w:rPr>
        <w:t>Authentication and request flow</w:t>
      </w:r>
    </w:p>
    <w:p w14:paraId="39926C35" w14:textId="6A058ECB" w:rsidR="001F15E3" w:rsidRDefault="001F15E3" w:rsidP="001F15E3">
      <w:pPr>
        <w:rPr>
          <w:rFonts w:ascii="Calibri" w:hAnsi="Calibri" w:cs="Calibri"/>
          <w:color w:val="111111"/>
        </w:rPr>
      </w:pPr>
      <w:r>
        <w:rPr>
          <w:rFonts w:ascii="Calibri" w:hAnsi="Calibri" w:cs="Calibri"/>
          <w:color w:val="111111"/>
        </w:rPr>
        <w:t>Login applies rate limiting, verifies BCrypt credentials and issues a signed token carrying email, role and organization claims. Each request passes the JWT filter, controller authorization, service scope assertions and finally scope-keyed caching before reaching persistence.</w:t>
      </w:r>
    </w:p>
    <w:p w14:paraId="56FE5D21" w14:textId="77777777" w:rsidR="001F15E3" w:rsidRDefault="001F15E3" w:rsidP="001F15E3">
      <w:pPr>
        <w:spacing w:after="80"/>
        <w:jc w:val="center"/>
        <w:rPr>
          <w:rFonts w:ascii="Calibri" w:hAnsi="Calibri" w:cs="Calibri"/>
          <w:color w:val="111111"/>
        </w:rPr>
      </w:pPr>
    </w:p>
    <w:p w14:paraId="29AD35FA" w14:textId="77777777" w:rsidR="001F15E3" w:rsidRDefault="001F15E3" w:rsidP="001F15E3">
      <w:pPr>
        <w:spacing w:after="240"/>
        <w:jc w:val="center"/>
        <w:rPr>
          <w:rFonts w:ascii="Calibri" w:hAnsi="Calibri" w:cs="Calibri"/>
          <w:i/>
          <w:color w:val="64748B"/>
          <w:sz w:val="19"/>
        </w:rPr>
      </w:pPr>
      <w:r>
        <w:rPr>
          <w:rFonts w:ascii="Calibri" w:hAnsi="Calibri" w:cs="Calibri"/>
          <w:i/>
          <w:color w:val="64748B"/>
          <w:sz w:val="19"/>
        </w:rPr>
        <w:t>Figure 3: Checkpoints traversed by every authenticated request.</w:t>
      </w:r>
    </w:p>
    <w:p w14:paraId="3843F6BC" w14:textId="77777777" w:rsidR="001F15E3" w:rsidRDefault="001F15E3" w:rsidP="001F15E3">
      <w:pPr>
        <w:spacing w:after="200"/>
        <w:rPr>
          <w:rFonts w:ascii="Calibri" w:hAnsi="Calibri" w:cs="Calibri"/>
          <w:b/>
          <w:color w:val="0F172A"/>
          <w:sz w:val="34"/>
        </w:rPr>
      </w:pPr>
      <w:r>
        <w:rPr>
          <w:rFonts w:ascii="Calibri" w:hAnsi="Calibri" w:cs="Calibri"/>
          <w:b/>
          <w:color w:val="0F172A"/>
          <w:sz w:val="34"/>
        </w:rPr>
        <w:t>6. Payment Workflow</w:t>
      </w:r>
    </w:p>
    <w:p w14:paraId="4EDF63EB" w14:textId="77777777" w:rsidR="001F15E3" w:rsidRDefault="001F15E3" w:rsidP="001F15E3">
      <w:pPr>
        <w:rPr>
          <w:rFonts w:ascii="Calibri" w:hAnsi="Calibri" w:cs="Calibri"/>
          <w:color w:val="111111"/>
        </w:rPr>
      </w:pPr>
      <w:r>
        <w:rPr>
          <w:rFonts w:ascii="Calibri" w:hAnsi="Calibri" w:cs="Calibri"/>
          <w:color w:val="111111"/>
        </w:rPr>
        <w:t>Checkout creation verifies ownership, amount parity and unpaid status before creating a Razorpay order. Success is accepted only after HMAC-SHA256 verification of the client signature or a valid webhook payload; the invoice then transitions to PAID and the organization is notified. Failed events mark the payment FAILED without touching the invoice.</w:t>
      </w:r>
    </w:p>
    <w:p w14:paraId="255AF93E" w14:textId="77777777" w:rsidR="001F15E3" w:rsidRDefault="001F15E3" w:rsidP="001F15E3">
      <w:pPr>
        <w:spacing w:after="80"/>
        <w:jc w:val="center"/>
        <w:rPr>
          <w:rFonts w:ascii="Calibri" w:hAnsi="Calibri" w:cs="Calibri"/>
          <w:color w:val="111111"/>
        </w:rPr>
      </w:pPr>
    </w:p>
    <w:p w14:paraId="4C7391F4" w14:textId="77777777" w:rsidR="001F15E3" w:rsidRDefault="001F15E3" w:rsidP="001F15E3">
      <w:pPr>
        <w:spacing w:after="240"/>
        <w:jc w:val="center"/>
        <w:rPr>
          <w:rFonts w:ascii="Calibri" w:hAnsi="Calibri" w:cs="Calibri"/>
          <w:i/>
          <w:color w:val="64748B"/>
          <w:sz w:val="19"/>
        </w:rPr>
      </w:pPr>
      <w:r>
        <w:rPr>
          <w:rFonts w:ascii="Calibri" w:hAnsi="Calibri" w:cs="Calibri"/>
          <w:i/>
          <w:color w:val="64748B"/>
          <w:sz w:val="19"/>
        </w:rPr>
        <w:t>Figure 4: Verified payment lifecycle with duplicate and ownership protection.</w:t>
      </w:r>
    </w:p>
    <w:p w14:paraId="5E7E9A99" w14:textId="77777777" w:rsidR="001F15E3" w:rsidRDefault="001F15E3" w:rsidP="001F15E3">
      <w:pPr>
        <w:spacing w:after="200"/>
        <w:rPr>
          <w:rFonts w:ascii="Calibri" w:hAnsi="Calibri" w:cs="Calibri"/>
          <w:b/>
          <w:color w:val="0F172A"/>
          <w:sz w:val="34"/>
        </w:rPr>
      </w:pPr>
      <w:r>
        <w:rPr>
          <w:rFonts w:ascii="Calibri" w:hAnsi="Calibri" w:cs="Calibri"/>
          <w:b/>
          <w:color w:val="0F172A"/>
          <w:sz w:val="34"/>
        </w:rPr>
        <w:t>7. Quality Assurance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1F15E3" w14:paraId="7B775B3D" w14:textId="77777777" w:rsidTr="001F15E3">
        <w:tblPrEx>
          <w:tblCellMar>
            <w:top w:w="0" w:type="dxa"/>
            <w:bottom w:w="0" w:type="dxa"/>
          </w:tblCellMar>
        </w:tblPrEx>
        <w:tc>
          <w:tcPr>
            <w:tcW w:w="1666" w:type="pct"/>
            <w:shd w:val="clear" w:color="auto" w:fill="E2E8F0"/>
          </w:tcPr>
          <w:p w14:paraId="3506B381" w14:textId="3D5C3C07"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Suite</w:t>
            </w:r>
          </w:p>
        </w:tc>
        <w:tc>
          <w:tcPr>
            <w:tcW w:w="1667" w:type="pct"/>
            <w:shd w:val="clear" w:color="auto" w:fill="E2E8F0"/>
          </w:tcPr>
          <w:p w14:paraId="5D212956" w14:textId="1677B9A7"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Tests</w:t>
            </w:r>
          </w:p>
        </w:tc>
        <w:tc>
          <w:tcPr>
            <w:tcW w:w="1667" w:type="pct"/>
            <w:shd w:val="clear" w:color="auto" w:fill="E2E8F0"/>
          </w:tcPr>
          <w:p w14:paraId="5C3BC166" w14:textId="0A19FEBB"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Coverage focus</w:t>
            </w:r>
          </w:p>
        </w:tc>
      </w:tr>
      <w:tr w:rsidR="001F15E3" w14:paraId="301E173B" w14:textId="77777777" w:rsidTr="001F15E3">
        <w:tblPrEx>
          <w:tblCellMar>
            <w:top w:w="0" w:type="dxa"/>
            <w:bottom w:w="0" w:type="dxa"/>
          </w:tblCellMar>
        </w:tblPrEx>
        <w:tc>
          <w:tcPr>
            <w:tcW w:w="1666" w:type="pct"/>
          </w:tcPr>
          <w:p w14:paraId="2CF436A9" w14:textId="224E1537" w:rsidR="001F15E3" w:rsidRPr="001F15E3" w:rsidRDefault="001F15E3" w:rsidP="001F15E3">
            <w:pPr>
              <w:rPr>
                <w:rFonts w:ascii="Calibri" w:hAnsi="Calibri" w:cs="Calibri"/>
                <w:color w:val="111111"/>
                <w:sz w:val="19"/>
              </w:rPr>
            </w:pPr>
            <w:r w:rsidRPr="001F15E3">
              <w:rPr>
                <w:rFonts w:ascii="Calibri" w:hAnsi="Calibri" w:cs="Calibri"/>
                <w:color w:val="111111"/>
                <w:sz w:val="19"/>
              </w:rPr>
              <w:t>ModuleApiIntegrationTests</w:t>
            </w:r>
          </w:p>
        </w:tc>
        <w:tc>
          <w:tcPr>
            <w:tcW w:w="1667" w:type="pct"/>
          </w:tcPr>
          <w:p w14:paraId="2FE1C2D8" w14:textId="2890AB2F" w:rsidR="001F15E3" w:rsidRPr="001F15E3" w:rsidRDefault="001F15E3" w:rsidP="001F15E3">
            <w:pPr>
              <w:rPr>
                <w:rFonts w:ascii="Calibri" w:hAnsi="Calibri" w:cs="Calibri"/>
                <w:color w:val="111111"/>
                <w:sz w:val="19"/>
              </w:rPr>
            </w:pPr>
            <w:r w:rsidRPr="001F15E3">
              <w:rPr>
                <w:rFonts w:ascii="Calibri" w:hAnsi="Calibri" w:cs="Calibri"/>
                <w:color w:val="111111"/>
                <w:sz w:val="19"/>
              </w:rPr>
              <w:t>9</w:t>
            </w:r>
          </w:p>
        </w:tc>
        <w:tc>
          <w:tcPr>
            <w:tcW w:w="1667" w:type="pct"/>
          </w:tcPr>
          <w:p w14:paraId="02FC9CF5" w14:textId="5103F97F" w:rsidR="001F15E3" w:rsidRPr="001F15E3" w:rsidRDefault="001F15E3" w:rsidP="001F15E3">
            <w:pPr>
              <w:rPr>
                <w:rFonts w:ascii="Calibri" w:hAnsi="Calibri" w:cs="Calibri"/>
                <w:color w:val="111111"/>
                <w:sz w:val="19"/>
              </w:rPr>
            </w:pPr>
            <w:r w:rsidRPr="001F15E3">
              <w:rPr>
                <w:rFonts w:ascii="Calibri" w:hAnsi="Calibri" w:cs="Calibri"/>
                <w:color w:val="111111"/>
                <w:sz w:val="19"/>
              </w:rPr>
              <w:t>End-to-end module flows, role matrix, privilege escalation and org scoping regressions</w:t>
            </w:r>
          </w:p>
        </w:tc>
      </w:tr>
      <w:tr w:rsidR="001F15E3" w14:paraId="19898C3E" w14:textId="77777777" w:rsidTr="001F15E3">
        <w:tblPrEx>
          <w:tblCellMar>
            <w:top w:w="0" w:type="dxa"/>
            <w:bottom w:w="0" w:type="dxa"/>
          </w:tblCellMar>
        </w:tblPrEx>
        <w:tc>
          <w:tcPr>
            <w:tcW w:w="1666" w:type="pct"/>
          </w:tcPr>
          <w:p w14:paraId="0D6DFD11" w14:textId="20876BA8" w:rsidR="001F15E3" w:rsidRPr="001F15E3" w:rsidRDefault="001F15E3" w:rsidP="001F15E3">
            <w:pPr>
              <w:rPr>
                <w:rFonts w:ascii="Calibri" w:hAnsi="Calibri" w:cs="Calibri"/>
                <w:color w:val="111111"/>
                <w:sz w:val="19"/>
              </w:rPr>
            </w:pPr>
            <w:r w:rsidRPr="001F15E3">
              <w:rPr>
                <w:rFonts w:ascii="Calibri" w:hAnsi="Calibri" w:cs="Calibri"/>
                <w:color w:val="111111"/>
                <w:sz w:val="19"/>
              </w:rPr>
              <w:t>RazorpayPaymentIntegrationTests</w:t>
            </w:r>
          </w:p>
        </w:tc>
        <w:tc>
          <w:tcPr>
            <w:tcW w:w="1667" w:type="pct"/>
          </w:tcPr>
          <w:p w14:paraId="4F923C5B" w14:textId="0639E2CD" w:rsidR="001F15E3" w:rsidRPr="001F15E3" w:rsidRDefault="001F15E3" w:rsidP="001F15E3">
            <w:pPr>
              <w:rPr>
                <w:rFonts w:ascii="Calibri" w:hAnsi="Calibri" w:cs="Calibri"/>
                <w:color w:val="111111"/>
                <w:sz w:val="19"/>
              </w:rPr>
            </w:pPr>
            <w:r w:rsidRPr="001F15E3">
              <w:rPr>
                <w:rFonts w:ascii="Calibri" w:hAnsi="Calibri" w:cs="Calibri"/>
                <w:color w:val="111111"/>
                <w:sz w:val="19"/>
              </w:rPr>
              <w:t>7</w:t>
            </w:r>
          </w:p>
        </w:tc>
        <w:tc>
          <w:tcPr>
            <w:tcW w:w="1667" w:type="pct"/>
          </w:tcPr>
          <w:p w14:paraId="38225E54" w14:textId="75BE92FC" w:rsidR="001F15E3" w:rsidRPr="001F15E3" w:rsidRDefault="001F15E3" w:rsidP="001F15E3">
            <w:pPr>
              <w:rPr>
                <w:rFonts w:ascii="Calibri" w:hAnsi="Calibri" w:cs="Calibri"/>
                <w:color w:val="111111"/>
                <w:sz w:val="19"/>
              </w:rPr>
            </w:pPr>
            <w:r w:rsidRPr="001F15E3">
              <w:rPr>
                <w:rFonts w:ascii="Calibri" w:hAnsi="Calibri" w:cs="Calibri"/>
                <w:color w:val="111111"/>
                <w:sz w:val="19"/>
              </w:rPr>
              <w:t>Order creation, signature verification, webhook capture/failure, duplicate handling</w:t>
            </w:r>
          </w:p>
        </w:tc>
      </w:tr>
      <w:tr w:rsidR="001F15E3" w14:paraId="5735192D" w14:textId="77777777" w:rsidTr="001F15E3">
        <w:tblPrEx>
          <w:tblCellMar>
            <w:top w:w="0" w:type="dxa"/>
            <w:bottom w:w="0" w:type="dxa"/>
          </w:tblCellMar>
        </w:tblPrEx>
        <w:tc>
          <w:tcPr>
            <w:tcW w:w="1666" w:type="pct"/>
          </w:tcPr>
          <w:p w14:paraId="4CD5E430" w14:textId="2B19B673" w:rsidR="001F15E3" w:rsidRPr="001F15E3" w:rsidRDefault="001F15E3" w:rsidP="001F15E3">
            <w:pPr>
              <w:rPr>
                <w:rFonts w:ascii="Calibri" w:hAnsi="Calibri" w:cs="Calibri"/>
                <w:color w:val="111111"/>
                <w:sz w:val="19"/>
              </w:rPr>
            </w:pPr>
            <w:r w:rsidRPr="001F15E3">
              <w:rPr>
                <w:rFonts w:ascii="Calibri" w:hAnsi="Calibri" w:cs="Calibri"/>
                <w:color w:val="111111"/>
                <w:sz w:val="19"/>
              </w:rPr>
              <w:t>DtoMapperTest</w:t>
            </w:r>
          </w:p>
        </w:tc>
        <w:tc>
          <w:tcPr>
            <w:tcW w:w="1667" w:type="pct"/>
          </w:tcPr>
          <w:p w14:paraId="449FF215" w14:textId="147918A5" w:rsidR="001F15E3" w:rsidRPr="001F15E3" w:rsidRDefault="001F15E3" w:rsidP="001F15E3">
            <w:pPr>
              <w:rPr>
                <w:rFonts w:ascii="Calibri" w:hAnsi="Calibri" w:cs="Calibri"/>
                <w:color w:val="111111"/>
                <w:sz w:val="19"/>
              </w:rPr>
            </w:pPr>
            <w:r w:rsidRPr="001F15E3">
              <w:rPr>
                <w:rFonts w:ascii="Calibri" w:hAnsi="Calibri" w:cs="Calibri"/>
                <w:color w:val="111111"/>
                <w:sz w:val="19"/>
              </w:rPr>
              <w:t>1</w:t>
            </w:r>
          </w:p>
        </w:tc>
        <w:tc>
          <w:tcPr>
            <w:tcW w:w="1667" w:type="pct"/>
          </w:tcPr>
          <w:p w14:paraId="4716F801" w14:textId="04B334A2" w:rsidR="001F15E3" w:rsidRPr="001F15E3" w:rsidRDefault="001F15E3" w:rsidP="001F15E3">
            <w:pPr>
              <w:rPr>
                <w:rFonts w:ascii="Calibri" w:hAnsi="Calibri" w:cs="Calibri"/>
                <w:color w:val="111111"/>
                <w:sz w:val="19"/>
              </w:rPr>
            </w:pPr>
            <w:r w:rsidRPr="001F15E3">
              <w:rPr>
                <w:rFonts w:ascii="Calibri" w:hAnsi="Calibri" w:cs="Calibri"/>
                <w:color w:val="111111"/>
                <w:sz w:val="19"/>
              </w:rPr>
              <w:t>Entity-DTO mapping</w:t>
            </w:r>
          </w:p>
        </w:tc>
      </w:tr>
      <w:tr w:rsidR="001F15E3" w14:paraId="0614ECF4" w14:textId="77777777" w:rsidTr="001F15E3">
        <w:tblPrEx>
          <w:tblCellMar>
            <w:top w:w="0" w:type="dxa"/>
            <w:bottom w:w="0" w:type="dxa"/>
          </w:tblCellMar>
        </w:tblPrEx>
        <w:tc>
          <w:tcPr>
            <w:tcW w:w="1666" w:type="pct"/>
          </w:tcPr>
          <w:p w14:paraId="2B13B2E2" w14:textId="69F6D14A" w:rsidR="001F15E3" w:rsidRPr="001F15E3" w:rsidRDefault="001F15E3" w:rsidP="001F15E3">
            <w:pPr>
              <w:rPr>
                <w:rFonts w:ascii="Calibri" w:hAnsi="Calibri" w:cs="Calibri"/>
                <w:color w:val="111111"/>
                <w:sz w:val="19"/>
              </w:rPr>
            </w:pPr>
            <w:r w:rsidRPr="001F15E3">
              <w:rPr>
                <w:rFonts w:ascii="Calibri" w:hAnsi="Calibri" w:cs="Calibri"/>
                <w:color w:val="111111"/>
                <w:sz w:val="19"/>
              </w:rPr>
              <w:t>GeminiAssistantServiceTest</w:t>
            </w:r>
          </w:p>
        </w:tc>
        <w:tc>
          <w:tcPr>
            <w:tcW w:w="1667" w:type="pct"/>
          </w:tcPr>
          <w:p w14:paraId="2DC25248" w14:textId="3CC7E4B1" w:rsidR="001F15E3" w:rsidRPr="001F15E3" w:rsidRDefault="001F15E3" w:rsidP="001F15E3">
            <w:pPr>
              <w:rPr>
                <w:rFonts w:ascii="Calibri" w:hAnsi="Calibri" w:cs="Calibri"/>
                <w:color w:val="111111"/>
                <w:sz w:val="19"/>
              </w:rPr>
            </w:pPr>
            <w:r w:rsidRPr="001F15E3">
              <w:rPr>
                <w:rFonts w:ascii="Calibri" w:hAnsi="Calibri" w:cs="Calibri"/>
                <w:color w:val="111111"/>
                <w:sz w:val="19"/>
              </w:rPr>
              <w:t>1</w:t>
            </w:r>
          </w:p>
        </w:tc>
        <w:tc>
          <w:tcPr>
            <w:tcW w:w="1667" w:type="pct"/>
          </w:tcPr>
          <w:p w14:paraId="12DB6741" w14:textId="5B9D27DA" w:rsidR="001F15E3" w:rsidRPr="001F15E3" w:rsidRDefault="001F15E3" w:rsidP="001F15E3">
            <w:pPr>
              <w:rPr>
                <w:rFonts w:ascii="Calibri" w:hAnsi="Calibri" w:cs="Calibri"/>
                <w:color w:val="111111"/>
                <w:sz w:val="19"/>
              </w:rPr>
            </w:pPr>
            <w:r w:rsidRPr="001F15E3">
              <w:rPr>
                <w:rFonts w:ascii="Calibri" w:hAnsi="Calibri" w:cs="Calibri"/>
                <w:color w:val="111111"/>
                <w:sz w:val="19"/>
              </w:rPr>
              <w:t>Assistant context behaviour</w:t>
            </w:r>
          </w:p>
        </w:tc>
      </w:tr>
      <w:tr w:rsidR="001F15E3" w14:paraId="05AC483F" w14:textId="77777777" w:rsidTr="001F15E3">
        <w:tblPrEx>
          <w:tblCellMar>
            <w:top w:w="0" w:type="dxa"/>
            <w:bottom w:w="0" w:type="dxa"/>
          </w:tblCellMar>
        </w:tblPrEx>
        <w:tc>
          <w:tcPr>
            <w:tcW w:w="1666" w:type="pct"/>
          </w:tcPr>
          <w:p w14:paraId="6BD2F2ED" w14:textId="370EAFF6" w:rsidR="001F15E3" w:rsidRPr="001F15E3" w:rsidRDefault="001F15E3" w:rsidP="001F15E3">
            <w:pPr>
              <w:rPr>
                <w:rFonts w:ascii="Calibri" w:hAnsi="Calibri" w:cs="Calibri"/>
                <w:color w:val="111111"/>
                <w:sz w:val="19"/>
              </w:rPr>
            </w:pPr>
            <w:r w:rsidRPr="001F15E3">
              <w:rPr>
                <w:rFonts w:ascii="Calibri" w:hAnsi="Calibri" w:cs="Calibri"/>
                <w:color w:val="111111"/>
                <w:sz w:val="19"/>
              </w:rPr>
              <w:t>Application context test</w:t>
            </w:r>
          </w:p>
        </w:tc>
        <w:tc>
          <w:tcPr>
            <w:tcW w:w="1667" w:type="pct"/>
          </w:tcPr>
          <w:p w14:paraId="16BE6756" w14:textId="49813B12" w:rsidR="001F15E3" w:rsidRPr="001F15E3" w:rsidRDefault="001F15E3" w:rsidP="001F15E3">
            <w:pPr>
              <w:rPr>
                <w:rFonts w:ascii="Calibri" w:hAnsi="Calibri" w:cs="Calibri"/>
                <w:color w:val="111111"/>
                <w:sz w:val="19"/>
              </w:rPr>
            </w:pPr>
            <w:r w:rsidRPr="001F15E3">
              <w:rPr>
                <w:rFonts w:ascii="Calibri" w:hAnsi="Calibri" w:cs="Calibri"/>
                <w:color w:val="111111"/>
                <w:sz w:val="19"/>
              </w:rPr>
              <w:t>1</w:t>
            </w:r>
          </w:p>
        </w:tc>
        <w:tc>
          <w:tcPr>
            <w:tcW w:w="1667" w:type="pct"/>
          </w:tcPr>
          <w:p w14:paraId="218EFDD3" w14:textId="7DC3FF0C" w:rsidR="001F15E3" w:rsidRPr="001F15E3" w:rsidRDefault="001F15E3" w:rsidP="001F15E3">
            <w:pPr>
              <w:rPr>
                <w:rFonts w:ascii="Calibri" w:hAnsi="Calibri" w:cs="Calibri"/>
                <w:color w:val="111111"/>
                <w:sz w:val="19"/>
              </w:rPr>
            </w:pPr>
            <w:r w:rsidRPr="001F15E3">
              <w:rPr>
                <w:rFonts w:ascii="Calibri" w:hAnsi="Calibri" w:cs="Calibri"/>
                <w:color w:val="111111"/>
                <w:sz w:val="19"/>
              </w:rPr>
              <w:t>Spring context startup</w:t>
            </w:r>
          </w:p>
        </w:tc>
      </w:tr>
    </w:tbl>
    <w:p w14:paraId="333A1969" w14:textId="5873688C" w:rsidR="001F15E3" w:rsidRDefault="001F15E3" w:rsidP="001F15E3">
      <w:pPr>
        <w:rPr>
          <w:rFonts w:ascii="Calibri" w:hAnsi="Calibri" w:cs="Calibri"/>
          <w:color w:val="111111"/>
        </w:rPr>
      </w:pPr>
      <w:r>
        <w:rPr>
          <w:rFonts w:ascii="Calibri" w:hAnsi="Calibri" w:cs="Calibri"/>
          <w:noProof/>
          <w:color w:val="111111"/>
        </w:rPr>
        <w:lastRenderedPageBreak/>
        <w:drawing>
          <wp:inline distT="0" distB="0" distL="0" distR="0" wp14:anchorId="53177824" wp14:editId="3A6DB4DA">
            <wp:extent cx="5778500" cy="3210560"/>
            <wp:effectExtent l="0" t="0" r="0" b="8890"/>
            <wp:docPr id="947759674" name="Picture 4"/>
            <wp:cNvGraphicFramePr/>
            <a:graphic xmlns:a="http://schemas.openxmlformats.org/drawingml/2006/main">
              <a:graphicData uri="http://schemas.openxmlformats.org/drawingml/2006/picture">
                <pic:pic xmlns:pic="http://schemas.openxmlformats.org/drawingml/2006/picture">
                  <pic:nvPicPr>
                    <pic:cNvPr id="94775967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8500" cy="3210560"/>
                    </a:xfrm>
                    <a:prstGeom prst="rect">
                      <a:avLst/>
                    </a:prstGeom>
                  </pic:spPr>
                </pic:pic>
              </a:graphicData>
            </a:graphic>
          </wp:inline>
        </w:drawing>
      </w:r>
      <w:r>
        <w:rPr>
          <w:rFonts w:ascii="Calibri" w:hAnsi="Calibri" w:cs="Calibri"/>
          <w:noProof/>
          <w:color w:val="111111"/>
        </w:rPr>
        <w:drawing>
          <wp:inline distT="0" distB="0" distL="0" distR="0" wp14:anchorId="3515EB5C" wp14:editId="2ED4F2A7">
            <wp:extent cx="5778500" cy="3049270"/>
            <wp:effectExtent l="0" t="0" r="0" b="0"/>
            <wp:docPr id="1779850887" name="Picture 3"/>
            <wp:cNvGraphicFramePr/>
            <a:graphic xmlns:a="http://schemas.openxmlformats.org/drawingml/2006/main">
              <a:graphicData uri="http://schemas.openxmlformats.org/drawingml/2006/picture">
                <pic:pic xmlns:pic="http://schemas.openxmlformats.org/drawingml/2006/picture">
                  <pic:nvPicPr>
                    <pic:cNvPr id="177985088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78500" cy="3049270"/>
                    </a:xfrm>
                    <a:prstGeom prst="rect">
                      <a:avLst/>
                    </a:prstGeom>
                  </pic:spPr>
                </pic:pic>
              </a:graphicData>
            </a:graphic>
          </wp:inline>
        </w:drawing>
      </w:r>
    </w:p>
    <w:p w14:paraId="5324CDC0" w14:textId="45F6264D" w:rsidR="001F15E3" w:rsidRDefault="001F15E3" w:rsidP="001F15E3">
      <w:pPr>
        <w:rPr>
          <w:rFonts w:ascii="Calibri" w:hAnsi="Calibri" w:cs="Calibri"/>
          <w:color w:val="111111"/>
        </w:rPr>
      </w:pPr>
      <w:r>
        <w:rPr>
          <w:rFonts w:ascii="Calibri" w:hAnsi="Calibri" w:cs="Calibri"/>
          <w:color w:val="111111"/>
        </w:rPr>
        <w:t>All 19 backend tests pass. Frontend quality gates are clean: ESLint reports no issues and the production TypeScript build completes successfully.</w:t>
      </w:r>
    </w:p>
    <w:p w14:paraId="1434086D" w14:textId="2B3403A8" w:rsidR="001F15E3" w:rsidRDefault="001F15E3" w:rsidP="001F15E3">
      <w:pPr>
        <w:spacing w:after="200"/>
        <w:rPr>
          <w:rFonts w:ascii="Calibri" w:hAnsi="Calibri" w:cs="Calibri"/>
          <w:b/>
          <w:color w:val="0F172A"/>
          <w:sz w:val="34"/>
        </w:rPr>
      </w:pPr>
      <w:r>
        <w:rPr>
          <w:rFonts w:ascii="Calibri" w:hAnsi="Calibri" w:cs="Calibri"/>
          <w:b/>
          <w:color w:val="0F172A"/>
          <w:sz w:val="34"/>
        </w:rPr>
        <w:t>8. Running the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1F15E3" w14:paraId="3F9D68DB" w14:textId="77777777" w:rsidTr="001F15E3">
        <w:tblPrEx>
          <w:tblCellMar>
            <w:top w:w="0" w:type="dxa"/>
            <w:bottom w:w="0" w:type="dxa"/>
          </w:tblCellMar>
        </w:tblPrEx>
        <w:tc>
          <w:tcPr>
            <w:tcW w:w="1666" w:type="pct"/>
            <w:shd w:val="clear" w:color="auto" w:fill="E2E8F0"/>
          </w:tcPr>
          <w:p w14:paraId="36BE2968" w14:textId="3CB2039E"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Task</w:t>
            </w:r>
          </w:p>
        </w:tc>
        <w:tc>
          <w:tcPr>
            <w:tcW w:w="1667" w:type="pct"/>
            <w:shd w:val="clear" w:color="auto" w:fill="E2E8F0"/>
          </w:tcPr>
          <w:p w14:paraId="384755E5" w14:textId="1441A549"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Command</w:t>
            </w:r>
          </w:p>
        </w:tc>
        <w:tc>
          <w:tcPr>
            <w:tcW w:w="1667" w:type="pct"/>
            <w:shd w:val="clear" w:color="auto" w:fill="E2E8F0"/>
          </w:tcPr>
          <w:p w14:paraId="23B7073D" w14:textId="356E8FAD" w:rsidR="001F15E3" w:rsidRPr="001F15E3" w:rsidRDefault="001F15E3" w:rsidP="001F15E3">
            <w:pPr>
              <w:rPr>
                <w:rFonts w:ascii="Calibri" w:hAnsi="Calibri" w:cs="Calibri"/>
                <w:b/>
                <w:color w:val="111111"/>
                <w:sz w:val="19"/>
              </w:rPr>
            </w:pPr>
            <w:r w:rsidRPr="001F15E3">
              <w:rPr>
                <w:rFonts w:ascii="Calibri" w:hAnsi="Calibri" w:cs="Calibri"/>
                <w:b/>
                <w:color w:val="111111"/>
                <w:sz w:val="19"/>
              </w:rPr>
              <w:t>Location</w:t>
            </w:r>
          </w:p>
        </w:tc>
      </w:tr>
      <w:tr w:rsidR="001F15E3" w14:paraId="76873E66" w14:textId="77777777" w:rsidTr="001F15E3">
        <w:tblPrEx>
          <w:tblCellMar>
            <w:top w:w="0" w:type="dxa"/>
            <w:bottom w:w="0" w:type="dxa"/>
          </w:tblCellMar>
        </w:tblPrEx>
        <w:tc>
          <w:tcPr>
            <w:tcW w:w="1666" w:type="pct"/>
          </w:tcPr>
          <w:p w14:paraId="14CC6E28" w14:textId="6D8AB57D" w:rsidR="001F15E3" w:rsidRPr="001F15E3" w:rsidRDefault="001F15E3" w:rsidP="001F15E3">
            <w:pPr>
              <w:rPr>
                <w:rFonts w:ascii="Calibri" w:hAnsi="Calibri" w:cs="Calibri"/>
                <w:color w:val="111111"/>
                <w:sz w:val="19"/>
              </w:rPr>
            </w:pPr>
            <w:r w:rsidRPr="001F15E3">
              <w:rPr>
                <w:rFonts w:ascii="Calibri" w:hAnsi="Calibri" w:cs="Calibri"/>
                <w:color w:val="111111"/>
                <w:sz w:val="19"/>
              </w:rPr>
              <w:t>Start backend (dev)</w:t>
            </w:r>
          </w:p>
        </w:tc>
        <w:tc>
          <w:tcPr>
            <w:tcW w:w="1667" w:type="pct"/>
          </w:tcPr>
          <w:p w14:paraId="01AAAAC9" w14:textId="7D616DD9" w:rsidR="001F15E3" w:rsidRPr="001F15E3" w:rsidRDefault="001F15E3" w:rsidP="001F15E3">
            <w:pPr>
              <w:rPr>
                <w:rFonts w:ascii="Calibri" w:hAnsi="Calibri" w:cs="Calibri"/>
                <w:color w:val="111111"/>
                <w:sz w:val="19"/>
              </w:rPr>
            </w:pPr>
            <w:r w:rsidRPr="001F15E3">
              <w:rPr>
                <w:rFonts w:ascii="Calibri" w:hAnsi="Calibri" w:cs="Calibri"/>
                <w:color w:val="111111"/>
                <w:sz w:val="19"/>
              </w:rPr>
              <w:t>.\mvnw.cmd spring-boot:run</w:t>
            </w:r>
          </w:p>
        </w:tc>
        <w:tc>
          <w:tcPr>
            <w:tcW w:w="1667" w:type="pct"/>
          </w:tcPr>
          <w:p w14:paraId="0B66819E" w14:textId="1DC01E56" w:rsidR="001F15E3" w:rsidRPr="001F15E3" w:rsidRDefault="001F15E3" w:rsidP="001F15E3">
            <w:pPr>
              <w:rPr>
                <w:rFonts w:ascii="Calibri" w:hAnsi="Calibri" w:cs="Calibri"/>
                <w:color w:val="111111"/>
                <w:sz w:val="19"/>
              </w:rPr>
            </w:pPr>
            <w:r w:rsidRPr="001F15E3">
              <w:rPr>
                <w:rFonts w:ascii="Calibri" w:hAnsi="Calibri" w:cs="Calibri"/>
                <w:color w:val="111111"/>
                <w:sz w:val="19"/>
              </w:rPr>
              <w:t>backend\</w:t>
            </w:r>
          </w:p>
        </w:tc>
      </w:tr>
      <w:tr w:rsidR="001F15E3" w14:paraId="0055E675" w14:textId="77777777" w:rsidTr="001F15E3">
        <w:tblPrEx>
          <w:tblCellMar>
            <w:top w:w="0" w:type="dxa"/>
            <w:bottom w:w="0" w:type="dxa"/>
          </w:tblCellMar>
        </w:tblPrEx>
        <w:tc>
          <w:tcPr>
            <w:tcW w:w="1666" w:type="pct"/>
          </w:tcPr>
          <w:p w14:paraId="3D71C223" w14:textId="6E58907F" w:rsidR="001F15E3" w:rsidRPr="001F15E3" w:rsidRDefault="001F15E3" w:rsidP="001F15E3">
            <w:pPr>
              <w:rPr>
                <w:rFonts w:ascii="Calibri" w:hAnsi="Calibri" w:cs="Calibri"/>
                <w:color w:val="111111"/>
                <w:sz w:val="19"/>
              </w:rPr>
            </w:pPr>
            <w:r w:rsidRPr="001F15E3">
              <w:rPr>
                <w:rFonts w:ascii="Calibri" w:hAnsi="Calibri" w:cs="Calibri"/>
                <w:color w:val="111111"/>
                <w:sz w:val="19"/>
              </w:rPr>
              <w:t>Run backend tests</w:t>
            </w:r>
          </w:p>
        </w:tc>
        <w:tc>
          <w:tcPr>
            <w:tcW w:w="1667" w:type="pct"/>
          </w:tcPr>
          <w:p w14:paraId="5031836B" w14:textId="56AC4E5F" w:rsidR="001F15E3" w:rsidRPr="001F15E3" w:rsidRDefault="001F15E3" w:rsidP="001F15E3">
            <w:pPr>
              <w:rPr>
                <w:rFonts w:ascii="Calibri" w:hAnsi="Calibri" w:cs="Calibri"/>
                <w:color w:val="111111"/>
                <w:sz w:val="19"/>
              </w:rPr>
            </w:pPr>
            <w:r w:rsidRPr="001F15E3">
              <w:rPr>
                <w:rFonts w:ascii="Calibri" w:hAnsi="Calibri" w:cs="Calibri"/>
                <w:color w:val="111111"/>
                <w:sz w:val="19"/>
              </w:rPr>
              <w:t>.\mvnw.cmd test</w:t>
            </w:r>
          </w:p>
        </w:tc>
        <w:tc>
          <w:tcPr>
            <w:tcW w:w="1667" w:type="pct"/>
          </w:tcPr>
          <w:p w14:paraId="168B7D62" w14:textId="2B4784A1" w:rsidR="001F15E3" w:rsidRPr="001F15E3" w:rsidRDefault="001F15E3" w:rsidP="001F15E3">
            <w:pPr>
              <w:rPr>
                <w:rFonts w:ascii="Calibri" w:hAnsi="Calibri" w:cs="Calibri"/>
                <w:color w:val="111111"/>
                <w:sz w:val="19"/>
              </w:rPr>
            </w:pPr>
            <w:r w:rsidRPr="001F15E3">
              <w:rPr>
                <w:rFonts w:ascii="Calibri" w:hAnsi="Calibri" w:cs="Calibri"/>
                <w:color w:val="111111"/>
                <w:sz w:val="19"/>
              </w:rPr>
              <w:t>backend\</w:t>
            </w:r>
          </w:p>
        </w:tc>
      </w:tr>
      <w:tr w:rsidR="001F15E3" w14:paraId="774EDFF3" w14:textId="77777777" w:rsidTr="001F15E3">
        <w:tblPrEx>
          <w:tblCellMar>
            <w:top w:w="0" w:type="dxa"/>
            <w:bottom w:w="0" w:type="dxa"/>
          </w:tblCellMar>
        </w:tblPrEx>
        <w:tc>
          <w:tcPr>
            <w:tcW w:w="1666" w:type="pct"/>
          </w:tcPr>
          <w:p w14:paraId="7A76BF69" w14:textId="71B7E076" w:rsidR="001F15E3" w:rsidRPr="001F15E3" w:rsidRDefault="001F15E3" w:rsidP="001F15E3">
            <w:pPr>
              <w:rPr>
                <w:rFonts w:ascii="Calibri" w:hAnsi="Calibri" w:cs="Calibri"/>
                <w:color w:val="111111"/>
                <w:sz w:val="19"/>
              </w:rPr>
            </w:pPr>
            <w:r w:rsidRPr="001F15E3">
              <w:rPr>
                <w:rFonts w:ascii="Calibri" w:hAnsi="Calibri" w:cs="Calibri"/>
                <w:color w:val="111111"/>
                <w:sz w:val="19"/>
              </w:rPr>
              <w:t>Start frontend</w:t>
            </w:r>
          </w:p>
        </w:tc>
        <w:tc>
          <w:tcPr>
            <w:tcW w:w="1667" w:type="pct"/>
          </w:tcPr>
          <w:p w14:paraId="389A2618" w14:textId="362B161D" w:rsidR="001F15E3" w:rsidRPr="001F15E3" w:rsidRDefault="001F15E3" w:rsidP="001F15E3">
            <w:pPr>
              <w:rPr>
                <w:rFonts w:ascii="Calibri" w:hAnsi="Calibri" w:cs="Calibri"/>
                <w:color w:val="111111"/>
                <w:sz w:val="19"/>
              </w:rPr>
            </w:pPr>
            <w:r w:rsidRPr="001F15E3">
              <w:rPr>
                <w:rFonts w:ascii="Calibri" w:hAnsi="Calibri" w:cs="Calibri"/>
                <w:color w:val="111111"/>
                <w:sz w:val="19"/>
              </w:rPr>
              <w:t>npm run dev</w:t>
            </w:r>
          </w:p>
        </w:tc>
        <w:tc>
          <w:tcPr>
            <w:tcW w:w="1667" w:type="pct"/>
          </w:tcPr>
          <w:p w14:paraId="0CB42DD4" w14:textId="2DFC2B21" w:rsidR="001F15E3" w:rsidRPr="001F15E3" w:rsidRDefault="001F15E3" w:rsidP="001F15E3">
            <w:pPr>
              <w:rPr>
                <w:rFonts w:ascii="Calibri" w:hAnsi="Calibri" w:cs="Calibri"/>
                <w:color w:val="111111"/>
                <w:sz w:val="19"/>
              </w:rPr>
            </w:pPr>
            <w:r w:rsidRPr="001F15E3">
              <w:rPr>
                <w:rFonts w:ascii="Calibri" w:hAnsi="Calibri" w:cs="Calibri"/>
                <w:color w:val="111111"/>
                <w:sz w:val="19"/>
              </w:rPr>
              <w:t>frontend\</w:t>
            </w:r>
          </w:p>
        </w:tc>
      </w:tr>
      <w:tr w:rsidR="001F15E3" w14:paraId="6A3FD0AB" w14:textId="77777777" w:rsidTr="001F15E3">
        <w:tblPrEx>
          <w:tblCellMar>
            <w:top w:w="0" w:type="dxa"/>
            <w:bottom w:w="0" w:type="dxa"/>
          </w:tblCellMar>
        </w:tblPrEx>
        <w:tc>
          <w:tcPr>
            <w:tcW w:w="1666" w:type="pct"/>
          </w:tcPr>
          <w:p w14:paraId="27F2677D" w14:textId="3E0F6D9A" w:rsidR="001F15E3" w:rsidRPr="001F15E3" w:rsidRDefault="001F15E3" w:rsidP="001F15E3">
            <w:pPr>
              <w:rPr>
                <w:rFonts w:ascii="Calibri" w:hAnsi="Calibri" w:cs="Calibri"/>
                <w:color w:val="111111"/>
                <w:sz w:val="19"/>
              </w:rPr>
            </w:pPr>
            <w:r w:rsidRPr="001F15E3">
              <w:rPr>
                <w:rFonts w:ascii="Calibri" w:hAnsi="Calibri" w:cs="Calibri"/>
                <w:color w:val="111111"/>
                <w:sz w:val="19"/>
              </w:rPr>
              <w:t>Lint frontend</w:t>
            </w:r>
          </w:p>
        </w:tc>
        <w:tc>
          <w:tcPr>
            <w:tcW w:w="1667" w:type="pct"/>
          </w:tcPr>
          <w:p w14:paraId="1978E3C7" w14:textId="70EC73E6" w:rsidR="001F15E3" w:rsidRPr="001F15E3" w:rsidRDefault="001F15E3" w:rsidP="001F15E3">
            <w:pPr>
              <w:rPr>
                <w:rFonts w:ascii="Calibri" w:hAnsi="Calibri" w:cs="Calibri"/>
                <w:color w:val="111111"/>
                <w:sz w:val="19"/>
              </w:rPr>
            </w:pPr>
            <w:r w:rsidRPr="001F15E3">
              <w:rPr>
                <w:rFonts w:ascii="Calibri" w:hAnsi="Calibri" w:cs="Calibri"/>
                <w:color w:val="111111"/>
                <w:sz w:val="19"/>
              </w:rPr>
              <w:t>npm run lint</w:t>
            </w:r>
          </w:p>
        </w:tc>
        <w:tc>
          <w:tcPr>
            <w:tcW w:w="1667" w:type="pct"/>
          </w:tcPr>
          <w:p w14:paraId="4DC71A11" w14:textId="3A273F48" w:rsidR="001F15E3" w:rsidRPr="001F15E3" w:rsidRDefault="001F15E3" w:rsidP="001F15E3">
            <w:pPr>
              <w:rPr>
                <w:rFonts w:ascii="Calibri" w:hAnsi="Calibri" w:cs="Calibri"/>
                <w:color w:val="111111"/>
                <w:sz w:val="19"/>
              </w:rPr>
            </w:pPr>
            <w:r w:rsidRPr="001F15E3">
              <w:rPr>
                <w:rFonts w:ascii="Calibri" w:hAnsi="Calibri" w:cs="Calibri"/>
                <w:color w:val="111111"/>
                <w:sz w:val="19"/>
              </w:rPr>
              <w:t>frontend\</w:t>
            </w:r>
          </w:p>
        </w:tc>
      </w:tr>
      <w:tr w:rsidR="001F15E3" w14:paraId="674AD3F3" w14:textId="77777777" w:rsidTr="001F15E3">
        <w:tblPrEx>
          <w:tblCellMar>
            <w:top w:w="0" w:type="dxa"/>
            <w:bottom w:w="0" w:type="dxa"/>
          </w:tblCellMar>
        </w:tblPrEx>
        <w:tc>
          <w:tcPr>
            <w:tcW w:w="1666" w:type="pct"/>
          </w:tcPr>
          <w:p w14:paraId="2D352FCD" w14:textId="0EB38965" w:rsidR="001F15E3" w:rsidRPr="001F15E3" w:rsidRDefault="001F15E3" w:rsidP="001F15E3">
            <w:pPr>
              <w:rPr>
                <w:rFonts w:ascii="Calibri" w:hAnsi="Calibri" w:cs="Calibri"/>
                <w:color w:val="111111"/>
                <w:sz w:val="19"/>
              </w:rPr>
            </w:pPr>
            <w:r w:rsidRPr="001F15E3">
              <w:rPr>
                <w:rFonts w:ascii="Calibri" w:hAnsi="Calibri" w:cs="Calibri"/>
                <w:color w:val="111111"/>
                <w:sz w:val="19"/>
              </w:rPr>
              <w:lastRenderedPageBreak/>
              <w:t>Production build</w:t>
            </w:r>
          </w:p>
        </w:tc>
        <w:tc>
          <w:tcPr>
            <w:tcW w:w="1667" w:type="pct"/>
          </w:tcPr>
          <w:p w14:paraId="6C7792BA" w14:textId="18AAB22C" w:rsidR="001F15E3" w:rsidRPr="001F15E3" w:rsidRDefault="001F15E3" w:rsidP="001F15E3">
            <w:pPr>
              <w:rPr>
                <w:rFonts w:ascii="Calibri" w:hAnsi="Calibri" w:cs="Calibri"/>
                <w:color w:val="111111"/>
                <w:sz w:val="19"/>
              </w:rPr>
            </w:pPr>
            <w:r w:rsidRPr="001F15E3">
              <w:rPr>
                <w:rFonts w:ascii="Calibri" w:hAnsi="Calibri" w:cs="Calibri"/>
                <w:color w:val="111111"/>
                <w:sz w:val="19"/>
              </w:rPr>
              <w:t>npm run build</w:t>
            </w:r>
          </w:p>
        </w:tc>
        <w:tc>
          <w:tcPr>
            <w:tcW w:w="1667" w:type="pct"/>
          </w:tcPr>
          <w:p w14:paraId="4244DFCF" w14:textId="67820A96" w:rsidR="001F15E3" w:rsidRPr="001F15E3" w:rsidRDefault="001F15E3" w:rsidP="001F15E3">
            <w:pPr>
              <w:rPr>
                <w:rFonts w:ascii="Calibri" w:hAnsi="Calibri" w:cs="Calibri"/>
                <w:color w:val="111111"/>
                <w:sz w:val="19"/>
              </w:rPr>
            </w:pPr>
            <w:r w:rsidRPr="001F15E3">
              <w:rPr>
                <w:rFonts w:ascii="Calibri" w:hAnsi="Calibri" w:cs="Calibri"/>
                <w:color w:val="111111"/>
                <w:sz w:val="19"/>
              </w:rPr>
              <w:t>frontend\</w:t>
            </w:r>
          </w:p>
        </w:tc>
      </w:tr>
    </w:tbl>
    <w:p w14:paraId="2AFB70AE" w14:textId="77777777" w:rsidR="001F15E3" w:rsidRDefault="001F15E3" w:rsidP="001F15E3">
      <w:pPr>
        <w:rPr>
          <w:rFonts w:ascii="Calibri" w:hAnsi="Calibri" w:cs="Calibri"/>
          <w:color w:val="111111"/>
        </w:rPr>
      </w:pPr>
    </w:p>
    <w:p w14:paraId="77B109B0" w14:textId="5DCD9016" w:rsidR="001F15E3" w:rsidRDefault="001F15E3" w:rsidP="001F15E3">
      <w:pPr>
        <w:rPr>
          <w:rFonts w:ascii="Calibri" w:hAnsi="Calibri" w:cs="Calibri"/>
          <w:color w:val="111111"/>
        </w:rPr>
      </w:pPr>
      <w:r>
        <w:rPr>
          <w:rFonts w:ascii="Calibri" w:hAnsi="Calibri" w:cs="Calibri"/>
          <w:color w:val="111111"/>
        </w:rPr>
        <w:t>In the dev profile a local administrator account is bootstrapped automatically from configuration. Subsequent staff accounts are created through the Users module by that administrator.</w:t>
      </w:r>
    </w:p>
    <w:p w14:paraId="313DE708" w14:textId="77777777" w:rsidR="001F15E3" w:rsidRPr="001F15E3" w:rsidRDefault="001F15E3" w:rsidP="001F15E3">
      <w:pPr>
        <w:rPr>
          <w:rFonts w:ascii="Calibri" w:hAnsi="Calibri" w:cs="Calibri"/>
          <w:color w:val="111111"/>
        </w:rPr>
      </w:pPr>
    </w:p>
    <w:sectPr w:rsidR="001F15E3" w:rsidRPr="001F15E3">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9F732" w14:textId="77777777" w:rsidR="002F176C" w:rsidRDefault="002F176C" w:rsidP="001F15E3">
      <w:pPr>
        <w:spacing w:after="0" w:line="240" w:lineRule="auto"/>
      </w:pPr>
      <w:r>
        <w:separator/>
      </w:r>
    </w:p>
  </w:endnote>
  <w:endnote w:type="continuationSeparator" w:id="0">
    <w:p w14:paraId="554D383D" w14:textId="77777777" w:rsidR="002F176C" w:rsidRDefault="002F176C" w:rsidP="001F1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9196A" w14:textId="77777777" w:rsidR="001F15E3" w:rsidRDefault="001F15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5B69" w14:textId="059AC796" w:rsidR="001F15E3" w:rsidRPr="001F15E3" w:rsidRDefault="001F15E3" w:rsidP="001F15E3">
    <w:pPr>
      <w:pStyle w:val="Foo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8610E" w14:textId="77777777" w:rsidR="001F15E3" w:rsidRDefault="001F15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48641" w14:textId="77777777" w:rsidR="002F176C" w:rsidRDefault="002F176C" w:rsidP="001F15E3">
      <w:pPr>
        <w:spacing w:after="0" w:line="240" w:lineRule="auto"/>
      </w:pPr>
      <w:r>
        <w:separator/>
      </w:r>
    </w:p>
  </w:footnote>
  <w:footnote w:type="continuationSeparator" w:id="0">
    <w:p w14:paraId="5FC745E7" w14:textId="77777777" w:rsidR="002F176C" w:rsidRDefault="002F176C" w:rsidP="001F1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AFA44" w14:textId="77777777" w:rsidR="001F15E3" w:rsidRDefault="001F15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2DA5" w14:textId="77777777" w:rsidR="001F15E3" w:rsidRDefault="001F15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CE1E" w14:textId="77777777" w:rsidR="001F15E3" w:rsidRDefault="001F15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E3"/>
    <w:rsid w:val="001F15E3"/>
    <w:rsid w:val="001F1B83"/>
    <w:rsid w:val="002F176C"/>
    <w:rsid w:val="00380B5C"/>
    <w:rsid w:val="00430C5E"/>
    <w:rsid w:val="00C912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7654"/>
  <w15:chartTrackingRefBased/>
  <w15:docId w15:val="{5B6D5D13-C0F8-4901-B2FC-31A361B1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5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15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5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5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5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5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15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5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5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5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5E3"/>
    <w:rPr>
      <w:rFonts w:eastAsiaTheme="majorEastAsia" w:cstheme="majorBidi"/>
      <w:color w:val="272727" w:themeColor="text1" w:themeTint="D8"/>
    </w:rPr>
  </w:style>
  <w:style w:type="paragraph" w:styleId="Title">
    <w:name w:val="Title"/>
    <w:basedOn w:val="Normal"/>
    <w:next w:val="Normal"/>
    <w:link w:val="TitleChar"/>
    <w:uiPriority w:val="10"/>
    <w:qFormat/>
    <w:rsid w:val="001F1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5E3"/>
    <w:pPr>
      <w:spacing w:before="160"/>
      <w:jc w:val="center"/>
    </w:pPr>
    <w:rPr>
      <w:i/>
      <w:iCs/>
      <w:color w:val="404040" w:themeColor="text1" w:themeTint="BF"/>
    </w:rPr>
  </w:style>
  <w:style w:type="character" w:customStyle="1" w:styleId="QuoteChar">
    <w:name w:val="Quote Char"/>
    <w:basedOn w:val="DefaultParagraphFont"/>
    <w:link w:val="Quote"/>
    <w:uiPriority w:val="29"/>
    <w:rsid w:val="001F15E3"/>
    <w:rPr>
      <w:i/>
      <w:iCs/>
      <w:color w:val="404040" w:themeColor="text1" w:themeTint="BF"/>
    </w:rPr>
  </w:style>
  <w:style w:type="paragraph" w:styleId="ListParagraph">
    <w:name w:val="List Paragraph"/>
    <w:basedOn w:val="Normal"/>
    <w:uiPriority w:val="34"/>
    <w:qFormat/>
    <w:rsid w:val="001F15E3"/>
    <w:pPr>
      <w:ind w:left="720"/>
      <w:contextualSpacing/>
    </w:pPr>
  </w:style>
  <w:style w:type="character" w:styleId="IntenseEmphasis">
    <w:name w:val="Intense Emphasis"/>
    <w:basedOn w:val="DefaultParagraphFont"/>
    <w:uiPriority w:val="21"/>
    <w:qFormat/>
    <w:rsid w:val="001F15E3"/>
    <w:rPr>
      <w:i/>
      <w:iCs/>
      <w:color w:val="2F5496" w:themeColor="accent1" w:themeShade="BF"/>
    </w:rPr>
  </w:style>
  <w:style w:type="paragraph" w:styleId="IntenseQuote">
    <w:name w:val="Intense Quote"/>
    <w:basedOn w:val="Normal"/>
    <w:next w:val="Normal"/>
    <w:link w:val="IntenseQuoteChar"/>
    <w:uiPriority w:val="30"/>
    <w:qFormat/>
    <w:rsid w:val="001F15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5E3"/>
    <w:rPr>
      <w:i/>
      <w:iCs/>
      <w:color w:val="2F5496" w:themeColor="accent1" w:themeShade="BF"/>
    </w:rPr>
  </w:style>
  <w:style w:type="character" w:styleId="IntenseReference">
    <w:name w:val="Intense Reference"/>
    <w:basedOn w:val="DefaultParagraphFont"/>
    <w:uiPriority w:val="32"/>
    <w:qFormat/>
    <w:rsid w:val="001F15E3"/>
    <w:rPr>
      <w:b/>
      <w:bCs/>
      <w:smallCaps/>
      <w:color w:val="2F5496" w:themeColor="accent1" w:themeShade="BF"/>
      <w:spacing w:val="5"/>
    </w:rPr>
  </w:style>
  <w:style w:type="paragraph" w:styleId="Header">
    <w:name w:val="header"/>
    <w:basedOn w:val="Normal"/>
    <w:link w:val="HeaderChar"/>
    <w:uiPriority w:val="99"/>
    <w:unhideWhenUsed/>
    <w:rsid w:val="001F15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15E3"/>
  </w:style>
  <w:style w:type="paragraph" w:styleId="Footer">
    <w:name w:val="footer"/>
    <w:basedOn w:val="Normal"/>
    <w:link w:val="FooterChar"/>
    <w:uiPriority w:val="99"/>
    <w:unhideWhenUsed/>
    <w:rsid w:val="001F15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1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1027</Words>
  <Characters>5855</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Franklin09020@outlook.com</dc:creator>
  <cp:keywords/>
  <dc:description/>
  <cp:lastModifiedBy>Franklin09020@outlook.com</cp:lastModifiedBy>
  <cp:revision>1</cp:revision>
  <dcterms:created xsi:type="dcterms:W3CDTF">2026-08-23T16:52:00Z</dcterms:created>
  <dcterms:modified xsi:type="dcterms:W3CDTF">2026-08-23T16:53:00Z</dcterms:modified>
</cp:coreProperties>
</file>