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right" w:leader="none" w:pos="14601"/>
        </w:tabs>
        <w:spacing w:line="240" w:lineRule="auto"/>
        <w:rPr>
          <w:color w:val="222222"/>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74077" cy="133977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74077" cy="1339775"/>
                    </a:xfrm>
                    <a:prstGeom prst="rect"/>
                    <a:ln/>
                  </pic:spPr>
                </pic:pic>
              </a:graphicData>
            </a:graphic>
          </wp:anchor>
        </w:drawing>
      </w:r>
    </w:p>
    <w:p w:rsidR="00000000" w:rsidDel="00000000" w:rsidP="00000000" w:rsidRDefault="00000000" w:rsidRPr="00000000" w14:paraId="00000002">
      <w:pPr>
        <w:pageBreakBefore w:val="0"/>
        <w:tabs>
          <w:tab w:val="right" w:leader="none" w:pos="14601"/>
        </w:tabs>
        <w:spacing w:line="240" w:lineRule="auto"/>
        <w:rPr>
          <w:color w:val="222222"/>
          <w:sz w:val="20"/>
          <w:szCs w:val="20"/>
        </w:rPr>
      </w:pPr>
      <w:r w:rsidDel="00000000" w:rsidR="00000000" w:rsidRPr="00000000">
        <w:rPr>
          <w:color w:val="222222"/>
          <w:sz w:val="20"/>
          <w:szCs w:val="20"/>
          <w:rtl w:val="0"/>
        </w:rPr>
        <w:t xml:space="preserve">Rue François Vekemans 131 </w:t>
      </w:r>
      <w:r w:rsidDel="00000000" w:rsidR="00000000" w:rsidRPr="00000000">
        <w:rPr>
          <w:sz w:val="20"/>
          <w:szCs w:val="20"/>
          <w:rtl w:val="0"/>
        </w:rPr>
        <w:t xml:space="preserve">Frans Vekemansstraat</w:t>
      </w:r>
      <w:r w:rsidDel="00000000" w:rsidR="00000000" w:rsidRPr="00000000">
        <w:rPr>
          <w:color w:val="222222"/>
          <w:sz w:val="20"/>
          <w:szCs w:val="20"/>
          <w:rtl w:val="0"/>
        </w:rPr>
        <w:t xml:space="preserve">, 1120 Neder-over-heembeek</w:t>
        <w:tab/>
        <w:t xml:space="preserve">pag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color w:val="222222"/>
          <w:sz w:val="20"/>
          <w:szCs w:val="20"/>
          <w:rtl w:val="0"/>
        </w:rPr>
        <w:t xml:space="preserve">Numéro d’entreprise - Ondernemingsnummer 413.797.644 ; Numéro de TVA - BTW nummer 0413.797.644 ; Compte bancaire - bankrekening BE76 0015 9823 0095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05">
      <w:pPr>
        <w:widowControl w:val="0"/>
        <w:spacing w:line="276" w:lineRule="auto"/>
        <w:rPr>
          <w:color w:val="222222"/>
          <w:sz w:val="20"/>
          <w:szCs w:val="20"/>
        </w:rPr>
      </w:pPr>
      <w:r w:rsidDel="00000000" w:rsidR="00000000" w:rsidRPr="00000000">
        <w:rPr>
          <w:color w:val="222222"/>
          <w:sz w:val="20"/>
          <w:szCs w:val="20"/>
          <w:rtl w:val="0"/>
        </w:rPr>
        <w:t xml:space="preserve">aanwezig: Geert Bailleul, Steven Bellens, Luc Cornet, Ruben Decrop, Bernard Malfliet, Philippe Vukojevic, Arben Dardha, Safet Capkunaj. </w:t>
      </w:r>
    </w:p>
    <w:p w:rsidR="00000000" w:rsidDel="00000000" w:rsidP="00000000" w:rsidRDefault="00000000" w:rsidRPr="00000000" w14:paraId="00000006">
      <w:pPr>
        <w:widowControl w:val="0"/>
        <w:spacing w:line="276" w:lineRule="auto"/>
        <w:rPr>
          <w:color w:val="222222"/>
          <w:sz w:val="20"/>
          <w:szCs w:val="20"/>
        </w:rPr>
      </w:pPr>
      <w:r w:rsidDel="00000000" w:rsidR="00000000" w:rsidRPr="00000000">
        <w:rPr>
          <w:color w:val="222222"/>
          <w:sz w:val="20"/>
          <w:szCs w:val="20"/>
          <w:rtl w:val="0"/>
        </w:rPr>
        <w:t xml:space="preserve">verontschuldigd : Wiebke Barbier, Pierre E. Gonzalez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tl w:val="0"/>
        </w:rPr>
      </w:r>
    </w:p>
    <w:tbl>
      <w:tblPr>
        <w:tblStyle w:val="Table1"/>
        <w:tblW w:w="15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4815"/>
        <w:gridCol w:w="4785"/>
        <w:gridCol w:w="4830"/>
        <w:tblGridChange w:id="0">
          <w:tblGrid>
            <w:gridCol w:w="570"/>
            <w:gridCol w:w="4815"/>
            <w:gridCol w:w="4785"/>
            <w:gridCol w:w="4830"/>
          </w:tblGrid>
        </w:tblGridChange>
      </w:tblGrid>
      <w:tr>
        <w:trPr>
          <w:cantSplit w:val="0"/>
          <w:tblHeader w:val="0"/>
        </w:trPr>
        <w:tc>
          <w:tcPr>
            <w:vAlign w:val="center"/>
          </w:tcPr>
          <w:p w:rsidR="00000000" w:rsidDel="00000000" w:rsidP="00000000" w:rsidRDefault="00000000" w:rsidRPr="00000000" w14:paraId="0000000A">
            <w:pPr>
              <w:pageBreakBefore w:val="0"/>
              <w:spacing w:after="40" w:before="40" w:lineRule="auto"/>
              <w:jc w:val="center"/>
              <w:rPr>
                <w:b w:val="1"/>
                <w:color w:val="000000"/>
                <w:sz w:val="24"/>
                <w:szCs w:val="24"/>
              </w:rPr>
            </w:pPr>
            <w:r w:rsidDel="00000000" w:rsidR="00000000" w:rsidRPr="00000000">
              <w:rPr>
                <w:rtl w:val="0"/>
              </w:rPr>
            </w:r>
          </w:p>
        </w:tc>
        <w:tc>
          <w:tcPr/>
          <w:p w:rsidR="00000000" w:rsidDel="00000000" w:rsidP="00000000" w:rsidRDefault="00000000" w:rsidRPr="00000000" w14:paraId="0000000B">
            <w:pPr>
              <w:pageBreakBefore w:val="0"/>
              <w:spacing w:after="40" w:before="40" w:lineRule="auto"/>
              <w:ind w:left="139" w:firstLine="0"/>
              <w:jc w:val="center"/>
              <w:rPr>
                <w:b w:val="1"/>
                <w:sz w:val="24"/>
                <w:szCs w:val="24"/>
              </w:rPr>
            </w:pPr>
            <w:r w:rsidDel="00000000" w:rsidR="00000000" w:rsidRPr="00000000">
              <w:rPr>
                <w:b w:val="1"/>
                <w:sz w:val="24"/>
                <w:szCs w:val="24"/>
                <w:rtl w:val="0"/>
              </w:rPr>
              <w:t xml:space="preserve">Organe d’Administration</w:t>
            </w:r>
          </w:p>
        </w:tc>
        <w:tc>
          <w:tcPr/>
          <w:p w:rsidR="00000000" w:rsidDel="00000000" w:rsidP="00000000" w:rsidRDefault="00000000" w:rsidRPr="00000000" w14:paraId="0000000C">
            <w:pPr>
              <w:pageBreakBefore w:val="0"/>
              <w:spacing w:after="40" w:before="40" w:lineRule="auto"/>
              <w:ind w:left="144" w:firstLine="0"/>
              <w:jc w:val="center"/>
              <w:rPr>
                <w:b w:val="1"/>
                <w:color w:val="0000ff"/>
                <w:sz w:val="24"/>
                <w:szCs w:val="24"/>
              </w:rPr>
            </w:pPr>
            <w:r w:rsidDel="00000000" w:rsidR="00000000" w:rsidRPr="00000000">
              <w:rPr>
                <w:b w:val="1"/>
                <w:color w:val="0000ff"/>
                <w:sz w:val="24"/>
                <w:szCs w:val="24"/>
                <w:rtl w:val="0"/>
              </w:rPr>
              <w:t xml:space="preserve">Bestuursorgaan</w:t>
            </w:r>
          </w:p>
        </w:tc>
        <w:tc>
          <w:tcPr/>
          <w:p w:rsidR="00000000" w:rsidDel="00000000" w:rsidP="00000000" w:rsidRDefault="00000000" w:rsidRPr="00000000" w14:paraId="0000000D">
            <w:pPr>
              <w:pageBreakBefore w:val="0"/>
              <w:spacing w:after="40" w:before="40" w:lineRule="auto"/>
              <w:ind w:left="144" w:firstLine="0"/>
              <w:jc w:val="center"/>
              <w:rPr>
                <w:b w:val="1"/>
                <w:color w:val="38761d"/>
                <w:sz w:val="24"/>
                <w:szCs w:val="24"/>
              </w:rPr>
            </w:pPr>
            <w:r w:rsidDel="00000000" w:rsidR="00000000" w:rsidRPr="00000000">
              <w:rPr>
                <w:b w:val="1"/>
                <w:color w:val="38761d"/>
                <w:sz w:val="24"/>
                <w:szCs w:val="24"/>
                <w:rtl w:val="0"/>
              </w:rPr>
              <w:t xml:space="preserve">Leitungsorgans</w:t>
            </w:r>
          </w:p>
        </w:tc>
      </w:tr>
      <w:tr>
        <w:trPr>
          <w:cantSplit w:val="0"/>
          <w:tblHeader w:val="0"/>
        </w:trPr>
        <w:tc>
          <w:tcPr>
            <w:vAlign w:val="center"/>
          </w:tcPr>
          <w:p w:rsidR="00000000" w:rsidDel="00000000" w:rsidP="00000000" w:rsidRDefault="00000000" w:rsidRPr="00000000" w14:paraId="0000000E">
            <w:pPr>
              <w:pageBreakBefore w:val="0"/>
              <w:spacing w:after="40" w:before="40" w:lineRule="auto"/>
              <w:jc w:val="center"/>
              <w:rPr>
                <w:color w:val="000000"/>
                <w:sz w:val="24"/>
                <w:szCs w:val="24"/>
              </w:rPr>
            </w:pPr>
            <w:r w:rsidDel="00000000" w:rsidR="00000000" w:rsidRPr="00000000">
              <w:rPr>
                <w:rtl w:val="0"/>
              </w:rPr>
            </w:r>
          </w:p>
        </w:tc>
        <w:tc>
          <w:tcPr>
            <w:gridSpan w:val="3"/>
          </w:tcPr>
          <w:p w:rsidR="00000000" w:rsidDel="00000000" w:rsidP="00000000" w:rsidRDefault="00000000" w:rsidRPr="00000000" w14:paraId="0000000F">
            <w:pPr>
              <w:pageBreakBefore w:val="0"/>
              <w:spacing w:after="40" w:before="40" w:lineRule="auto"/>
              <w:ind w:left="144" w:firstLine="0"/>
              <w:jc w:val="center"/>
              <w:rPr>
                <w:b w:val="1"/>
                <w:sz w:val="24"/>
                <w:szCs w:val="24"/>
              </w:rPr>
            </w:pPr>
            <w:r w:rsidDel="00000000" w:rsidR="00000000" w:rsidRPr="00000000">
              <w:rPr>
                <w:b w:val="1"/>
                <w:sz w:val="24"/>
                <w:szCs w:val="24"/>
                <w:rtl w:val="0"/>
              </w:rPr>
              <w:t xml:space="preserve">27-07-2023 online google meet 20h/u</w:t>
            </w:r>
          </w:p>
          <w:p w:rsidR="00000000" w:rsidDel="00000000" w:rsidP="00000000" w:rsidRDefault="00000000" w:rsidRPr="00000000" w14:paraId="00000010">
            <w:pPr>
              <w:pageBreakBefore w:val="0"/>
              <w:spacing w:after="40" w:before="40" w:lineRule="auto"/>
              <w:ind w:left="144" w:firstLine="0"/>
              <w:rPr>
                <w:color w:val="98000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pageBreakBefore w:val="0"/>
              <w:spacing w:after="40" w:before="40" w:lineRule="auto"/>
              <w:jc w:val="cente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014">
            <w:pPr>
              <w:pageBreakBefore w:val="0"/>
              <w:spacing w:after="40" w:before="40" w:lineRule="auto"/>
              <w:ind w:left="139" w:firstLine="0"/>
              <w:rPr>
                <w:sz w:val="24"/>
                <w:szCs w:val="24"/>
              </w:rPr>
            </w:pPr>
            <w:r w:rsidDel="00000000" w:rsidR="00000000" w:rsidRPr="00000000">
              <w:rPr>
                <w:sz w:val="24"/>
                <w:szCs w:val="24"/>
                <w:rtl w:val="0"/>
              </w:rPr>
              <w:t xml:space="preserve">Introduction par le président</w:t>
            </w:r>
          </w:p>
          <w:p w:rsidR="00000000" w:rsidDel="00000000" w:rsidP="00000000" w:rsidRDefault="00000000" w:rsidRPr="00000000" w14:paraId="00000015">
            <w:pPr>
              <w:pageBreakBefore w:val="0"/>
              <w:spacing w:after="40" w:before="40" w:lineRule="auto"/>
              <w:ind w:left="139" w:firstLine="0"/>
              <w:rPr>
                <w:color w:val="666666"/>
                <w:sz w:val="24"/>
                <w:szCs w:val="24"/>
              </w:rPr>
            </w:pPr>
            <w:r w:rsidDel="00000000" w:rsidR="00000000" w:rsidRPr="00000000">
              <w:rPr>
                <w:rtl w:val="0"/>
              </w:rPr>
            </w:r>
          </w:p>
        </w:tc>
        <w:tc>
          <w:tcPr/>
          <w:p w:rsidR="00000000" w:rsidDel="00000000" w:rsidP="00000000" w:rsidRDefault="00000000" w:rsidRPr="00000000" w14:paraId="00000016">
            <w:pPr>
              <w:pageBreakBefore w:val="0"/>
              <w:spacing w:after="40" w:before="40" w:lineRule="auto"/>
              <w:ind w:left="144" w:firstLine="0"/>
              <w:rPr>
                <w:color w:val="0000ff"/>
                <w:sz w:val="24"/>
                <w:szCs w:val="24"/>
              </w:rPr>
            </w:pPr>
            <w:r w:rsidDel="00000000" w:rsidR="00000000" w:rsidRPr="00000000">
              <w:rPr>
                <w:color w:val="0000ff"/>
                <w:sz w:val="24"/>
                <w:szCs w:val="24"/>
                <w:rtl w:val="0"/>
              </w:rPr>
              <w:t xml:space="preserve">Inleiding door de voorzitter</w:t>
            </w:r>
          </w:p>
          <w:p w:rsidR="00000000" w:rsidDel="00000000" w:rsidP="00000000" w:rsidRDefault="00000000" w:rsidRPr="00000000" w14:paraId="00000017">
            <w:pPr>
              <w:pageBreakBefore w:val="0"/>
              <w:spacing w:after="40" w:before="40" w:lineRule="auto"/>
              <w:ind w:left="144" w:firstLine="0"/>
              <w:rPr>
                <w:color w:val="0000ff"/>
                <w:sz w:val="24"/>
                <w:szCs w:val="24"/>
              </w:rPr>
            </w:pPr>
            <w:r w:rsidDel="00000000" w:rsidR="00000000" w:rsidRPr="00000000">
              <w:rPr>
                <w:rtl w:val="0"/>
              </w:rPr>
            </w:r>
          </w:p>
        </w:tc>
        <w:tc>
          <w:tcPr/>
          <w:p w:rsidR="00000000" w:rsidDel="00000000" w:rsidP="00000000" w:rsidRDefault="00000000" w:rsidRPr="00000000" w14:paraId="00000018">
            <w:pPr>
              <w:pageBreakBefore w:val="0"/>
              <w:spacing w:after="40" w:before="40" w:lineRule="auto"/>
              <w:ind w:left="144" w:firstLine="0"/>
              <w:rPr>
                <w:color w:val="6aa84f"/>
                <w:sz w:val="24"/>
                <w:szCs w:val="24"/>
              </w:rPr>
            </w:pPr>
            <w:r w:rsidDel="00000000" w:rsidR="00000000" w:rsidRPr="00000000">
              <w:rPr>
                <w:color w:val="6aa84f"/>
                <w:sz w:val="24"/>
                <w:szCs w:val="24"/>
                <w:rtl w:val="0"/>
              </w:rPr>
              <w:t xml:space="preserve">Begrüßung durch  den Vorsitzenden</w:t>
            </w:r>
          </w:p>
          <w:p w:rsidR="00000000" w:rsidDel="00000000" w:rsidP="00000000" w:rsidRDefault="00000000" w:rsidRPr="00000000" w14:paraId="00000019">
            <w:pPr>
              <w:pageBreakBefore w:val="0"/>
              <w:spacing w:after="40" w:before="40" w:lineRule="auto"/>
              <w:ind w:left="144" w:firstLine="0"/>
              <w:rPr>
                <w:color w:val="6aa84f"/>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pageBreakBefore w:val="0"/>
              <w:spacing w:after="40" w:before="40" w:lineRule="auto"/>
              <w:jc w:val="center"/>
              <w:rPr>
                <w:color w:val="000000"/>
                <w:sz w:val="24"/>
                <w:szCs w:val="24"/>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1B">
            <w:pPr>
              <w:spacing w:after="40" w:before="40" w:lineRule="auto"/>
              <w:ind w:left="139" w:firstLine="0"/>
              <w:rPr>
                <w:sz w:val="24"/>
                <w:szCs w:val="24"/>
              </w:rPr>
            </w:pPr>
            <w:r w:rsidDel="00000000" w:rsidR="00000000" w:rsidRPr="00000000">
              <w:rPr>
                <w:sz w:val="24"/>
                <w:szCs w:val="24"/>
                <w:rtl w:val="0"/>
              </w:rPr>
              <w:t xml:space="preserve">L’affaire SD</w:t>
            </w:r>
          </w:p>
          <w:p w:rsidR="00000000" w:rsidDel="00000000" w:rsidP="00000000" w:rsidRDefault="00000000" w:rsidRPr="00000000" w14:paraId="0000001C">
            <w:pPr>
              <w:spacing w:after="40" w:before="40" w:lineRule="auto"/>
              <w:ind w:left="139" w:firstLine="0"/>
              <w:rPr>
                <w:sz w:val="24"/>
                <w:szCs w:val="24"/>
              </w:rPr>
            </w:pPr>
            <w:r w:rsidDel="00000000" w:rsidR="00000000" w:rsidRPr="00000000">
              <w:rPr>
                <w:sz w:val="24"/>
                <w:szCs w:val="24"/>
                <w:rtl w:val="0"/>
              </w:rPr>
              <w:t xml:space="preserve">L’OA a reçu une version confidentielle et officielle du rapport de la commission fair-play de la FIDE (SD et DL ont également reçu ce rapport). Ce rapport est confidentiel et par conséquent les éléments ne peuvent aucunement être mentionnés dans ce rapport, ni ailleurs. L’OA ne peut donc pas distribuer ce rapport de la FIDE.</w:t>
            </w:r>
          </w:p>
          <w:p w:rsidR="00000000" w:rsidDel="00000000" w:rsidP="00000000" w:rsidRDefault="00000000" w:rsidRPr="00000000" w14:paraId="0000001D">
            <w:pPr>
              <w:spacing w:after="40" w:before="40" w:lineRule="auto"/>
              <w:ind w:left="139" w:firstLine="0"/>
              <w:rPr>
                <w:sz w:val="24"/>
                <w:szCs w:val="24"/>
              </w:rPr>
            </w:pPr>
            <w:r w:rsidDel="00000000" w:rsidR="00000000" w:rsidRPr="00000000">
              <w:rPr>
                <w:sz w:val="24"/>
                <w:szCs w:val="24"/>
                <w:rtl w:val="0"/>
              </w:rPr>
              <w:t xml:space="preserve">Ce rapport donne des conseils concrets concernant des sanctions à prendre à l'encontre de SD et DL. Cependant, ces conseils sur les sanctions s’adressent à la commission d'éthique de la FIDE et les sanctions ne sont donc pas encore en vigueur. La commission d’éthique prendra une décision, peut-être à la fin du mois d'août ou en septembre.</w:t>
            </w:r>
          </w:p>
          <w:p w:rsidR="00000000" w:rsidDel="00000000" w:rsidP="00000000" w:rsidRDefault="00000000" w:rsidRPr="00000000" w14:paraId="0000001E">
            <w:pPr>
              <w:spacing w:after="40" w:before="40" w:lineRule="auto"/>
              <w:ind w:left="139" w:firstLine="0"/>
              <w:rPr>
                <w:sz w:val="24"/>
                <w:szCs w:val="24"/>
              </w:rPr>
            </w:pPr>
            <w:r w:rsidDel="00000000" w:rsidR="00000000" w:rsidRPr="00000000">
              <w:rPr>
                <w:sz w:val="24"/>
                <w:szCs w:val="24"/>
                <w:rtl w:val="0"/>
              </w:rPr>
              <w:t xml:space="preserve">Étant donné que, d'une part, des sanctions concrètes ont été proposées par un organe de la FIDE mais que, d'autre part, ces sanctions n'ont pas encore été confirmées, l'OA considère qu'il convient de procéder avec prudence et de réémettre la mesure d'ordre prononcée le 1er mars après l'audience du 26 février. La mesure d'ordre prendra effet le 1er août 2023 et sera valable jusqu'à ce que le Comité d'éthique de la FIDE se prononce (avec une période maximale de cinq mois, c'est-à-dire jusqu'au 31 décembre 2023). Elle s'applique à tous les tournois homologués par la FIDE et aux tournois traités pour l’ELO FRBE se déroulant sur le territoire belge. Après ce délai, une sanction concrète sera envisagée sur base de la décision finale de la FIDE.</w:t>
            </w:r>
          </w:p>
          <w:p w:rsidR="00000000" w:rsidDel="00000000" w:rsidP="00000000" w:rsidRDefault="00000000" w:rsidRPr="00000000" w14:paraId="0000001F">
            <w:pPr>
              <w:spacing w:after="40" w:before="40" w:lineRule="auto"/>
              <w:ind w:left="139" w:firstLine="0"/>
              <w:rPr>
                <w:sz w:val="24"/>
                <w:szCs w:val="24"/>
              </w:rPr>
            </w:pPr>
            <w:r w:rsidDel="00000000" w:rsidR="00000000" w:rsidRPr="00000000">
              <w:rPr>
                <w:sz w:val="24"/>
                <w:szCs w:val="24"/>
                <w:rtl w:val="0"/>
              </w:rPr>
              <w:t xml:space="preserve">La motivation reste celle envoyée le 31 mars au CA et le 4 avril à SD avec le contenu confidentiel de la commission fair-play de la FIDE comme motivation supplémentaire.</w:t>
            </w:r>
          </w:p>
          <w:p w:rsidR="00000000" w:rsidDel="00000000" w:rsidP="00000000" w:rsidRDefault="00000000" w:rsidRPr="00000000" w14:paraId="00000020">
            <w:pPr>
              <w:spacing w:after="40" w:before="40" w:lineRule="auto"/>
              <w:ind w:left="139" w:firstLine="0"/>
              <w:rPr>
                <w:sz w:val="24"/>
                <w:szCs w:val="24"/>
              </w:rPr>
            </w:pPr>
            <w:r w:rsidDel="00000000" w:rsidR="00000000" w:rsidRPr="00000000">
              <w:rPr>
                <w:sz w:val="24"/>
                <w:szCs w:val="24"/>
                <w:rtl w:val="0"/>
              </w:rPr>
              <w:t xml:space="preserve">Il est considéré que SD a déjà été entendu dans cette affaire, puisqu'il s'agit toujours de l’affaire traité une première fois le 26 février.</w:t>
            </w:r>
          </w:p>
          <w:p w:rsidR="00000000" w:rsidDel="00000000" w:rsidP="00000000" w:rsidRDefault="00000000" w:rsidRPr="00000000" w14:paraId="00000021">
            <w:pPr>
              <w:spacing w:after="40" w:before="40" w:lineRule="auto"/>
              <w:ind w:left="139" w:firstLine="0"/>
              <w:rPr>
                <w:sz w:val="24"/>
                <w:szCs w:val="24"/>
              </w:rPr>
            </w:pPr>
            <w:r w:rsidDel="00000000" w:rsidR="00000000" w:rsidRPr="00000000">
              <w:rPr>
                <w:rtl w:val="0"/>
              </w:rPr>
            </w:r>
          </w:p>
        </w:tc>
        <w:tc>
          <w:tcPr/>
          <w:p w:rsidR="00000000" w:rsidDel="00000000" w:rsidP="00000000" w:rsidRDefault="00000000" w:rsidRPr="00000000" w14:paraId="00000022">
            <w:pPr>
              <w:spacing w:after="40" w:before="40" w:lineRule="auto"/>
              <w:ind w:left="144" w:firstLine="0"/>
              <w:rPr>
                <w:color w:val="0000ff"/>
                <w:sz w:val="24"/>
                <w:szCs w:val="24"/>
              </w:rPr>
            </w:pPr>
            <w:r w:rsidDel="00000000" w:rsidR="00000000" w:rsidRPr="00000000">
              <w:rPr>
                <w:color w:val="0000ff"/>
                <w:sz w:val="24"/>
                <w:szCs w:val="24"/>
                <w:rtl w:val="0"/>
              </w:rPr>
              <w:t xml:space="preserve">De zaak SD </w:t>
            </w:r>
          </w:p>
          <w:p w:rsidR="00000000" w:rsidDel="00000000" w:rsidP="00000000" w:rsidRDefault="00000000" w:rsidRPr="00000000" w14:paraId="00000023">
            <w:pPr>
              <w:spacing w:after="40" w:before="40" w:lineRule="auto"/>
              <w:ind w:left="144" w:firstLine="0"/>
              <w:rPr>
                <w:color w:val="0000ff"/>
                <w:sz w:val="24"/>
                <w:szCs w:val="24"/>
              </w:rPr>
            </w:pPr>
            <w:r w:rsidDel="00000000" w:rsidR="00000000" w:rsidRPr="00000000">
              <w:rPr>
                <w:color w:val="0000ff"/>
                <w:sz w:val="24"/>
                <w:szCs w:val="24"/>
                <w:rtl w:val="0"/>
              </w:rPr>
              <w:t xml:space="preserve">Het BO heeft een confidentiële en officiële versie ontvangen van het rapport van de FIDE fair-play commissie (SD en DL hebben dit verslag ook ontvangen). Dit rapport is vertrouwelijk en elementen kunnen dus niet vermeld worden in dit verslag, noch elders. Het BO kan dit FIDE verslag dan ook niet verspreiden.</w:t>
            </w:r>
          </w:p>
          <w:p w:rsidR="00000000" w:rsidDel="00000000" w:rsidP="00000000" w:rsidRDefault="00000000" w:rsidRPr="00000000" w14:paraId="00000024">
            <w:pPr>
              <w:spacing w:after="40" w:before="40" w:lineRule="auto"/>
              <w:ind w:left="144" w:firstLine="0"/>
              <w:rPr>
                <w:color w:val="0000ff"/>
                <w:sz w:val="24"/>
                <w:szCs w:val="24"/>
              </w:rPr>
            </w:pPr>
            <w:r w:rsidDel="00000000" w:rsidR="00000000" w:rsidRPr="00000000">
              <w:rPr>
                <w:color w:val="0000ff"/>
                <w:sz w:val="24"/>
                <w:szCs w:val="24"/>
                <w:rtl w:val="0"/>
              </w:rPr>
              <w:t xml:space="preserve">Dit verslag geeft concreet advies voor sancties ten opzichte van SD en DL. Deze sancties zijn echter telkens een advies voor de FIDE Ethics commission en dus nog niet van kracht. Deze commissie zou een uitspraak doen, wellicht einde augustus of september.</w:t>
            </w:r>
          </w:p>
          <w:p w:rsidR="00000000" w:rsidDel="00000000" w:rsidP="00000000" w:rsidRDefault="00000000" w:rsidRPr="00000000" w14:paraId="00000025">
            <w:pPr>
              <w:spacing w:after="40" w:before="40" w:lineRule="auto"/>
              <w:ind w:left="144" w:firstLine="0"/>
              <w:rPr>
                <w:color w:val="0000ff"/>
                <w:sz w:val="24"/>
                <w:szCs w:val="24"/>
              </w:rPr>
            </w:pPr>
            <w:r w:rsidDel="00000000" w:rsidR="00000000" w:rsidRPr="00000000">
              <w:rPr>
                <w:color w:val="0000ff"/>
                <w:sz w:val="24"/>
                <w:szCs w:val="24"/>
                <w:rtl w:val="0"/>
              </w:rPr>
              <w:t xml:space="preserve">Gezien er enerzijds concrete sancties voorgesteld worden door een FIDE orgaan, maar anderzijds deze sancties nog niet bevestigd werden, is het BO van mening dat voorzichtigheid geboden is. Het spreekt de ordemaatregel, genomen op 1 maart na de hoorzitting van 26 februari, opnieuw uit. De ordemaatregel gaat in op 1 augustus 2023 en is geldig tot en met de uitspraak van de FIDE Ethics commissie (met een maximumtermijn van vijf maanden, dus tot 31 december 2023). Ze geldt voor alle FIDE gehomologeerde toernooien en KBSB ELO verwerkte toernooien die plaatsvinden op het Belgische grondgebied. Na deze termijn zal een concrete sanctie overwogen worden op basis van de uiteindelijke FIDE beslissing. </w:t>
            </w:r>
          </w:p>
          <w:p w:rsidR="00000000" w:rsidDel="00000000" w:rsidP="00000000" w:rsidRDefault="00000000" w:rsidRPr="00000000" w14:paraId="00000026">
            <w:pPr>
              <w:spacing w:after="40" w:before="40" w:lineRule="auto"/>
              <w:ind w:left="144" w:firstLine="0"/>
              <w:rPr>
                <w:color w:val="0000ff"/>
                <w:sz w:val="24"/>
                <w:szCs w:val="24"/>
              </w:rPr>
            </w:pPr>
            <w:r w:rsidDel="00000000" w:rsidR="00000000" w:rsidRPr="00000000">
              <w:rPr>
                <w:color w:val="0000ff"/>
                <w:sz w:val="24"/>
                <w:szCs w:val="24"/>
                <w:rtl w:val="0"/>
              </w:rPr>
              <w:t xml:space="preserve">De motivatie blijft deze verzonden op 31 maart naar de GC en 4 april naar SD met als bijkomende motivatie de vertrouwelijke inhoud van de fair play commissie van FIDE.</w:t>
            </w:r>
          </w:p>
          <w:p w:rsidR="00000000" w:rsidDel="00000000" w:rsidP="00000000" w:rsidRDefault="00000000" w:rsidRPr="00000000" w14:paraId="00000027">
            <w:pPr>
              <w:spacing w:after="40" w:before="40" w:lineRule="auto"/>
              <w:ind w:left="144" w:firstLine="0"/>
              <w:rPr>
                <w:color w:val="0000ff"/>
                <w:sz w:val="24"/>
                <w:szCs w:val="24"/>
              </w:rPr>
            </w:pPr>
            <w:r w:rsidDel="00000000" w:rsidR="00000000" w:rsidRPr="00000000">
              <w:rPr>
                <w:color w:val="0000ff"/>
                <w:sz w:val="24"/>
                <w:szCs w:val="24"/>
                <w:rtl w:val="0"/>
              </w:rPr>
              <w:t xml:space="preserve">Er wordt beschouwd dat SD al verhoord werd, aangezien het nog steeds gaat over de zaak die een eerste keer op 26 februari behandeld werd.</w:t>
            </w:r>
          </w:p>
          <w:p w:rsidR="00000000" w:rsidDel="00000000" w:rsidP="00000000" w:rsidRDefault="00000000" w:rsidRPr="00000000" w14:paraId="00000028">
            <w:pPr>
              <w:spacing w:after="40" w:before="40" w:lineRule="auto"/>
              <w:ind w:left="144" w:firstLine="0"/>
              <w:rPr>
                <w:color w:val="0000ff"/>
                <w:sz w:val="24"/>
                <w:szCs w:val="24"/>
              </w:rPr>
            </w:pPr>
            <w:r w:rsidDel="00000000" w:rsidR="00000000" w:rsidRPr="00000000">
              <w:rPr>
                <w:color w:val="0000ff"/>
                <w:sz w:val="24"/>
                <w:szCs w:val="24"/>
                <w:rtl w:val="0"/>
              </w:rPr>
              <w:t xml:space="preserve">De beslissing van het BO is unaniem.</w:t>
            </w:r>
          </w:p>
        </w:tc>
        <w:tc>
          <w:tcPr/>
          <w:p w:rsidR="00000000" w:rsidDel="00000000" w:rsidP="00000000" w:rsidRDefault="00000000" w:rsidRPr="00000000" w14:paraId="00000029">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Der Fall SD </w:t>
            </w:r>
          </w:p>
          <w:p w:rsidR="00000000" w:rsidDel="00000000" w:rsidP="00000000" w:rsidRDefault="00000000" w:rsidRPr="00000000" w14:paraId="0000002A">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Das LO hat eine vertrauliche und offizielle Version des Berichts des FIDE-Fair-Play-Ausschusses erhalten (SD und DL haben diesen Bericht ebenfalls erhalten). Dieser Bericht ist vertraulich und Elemente können daher weder in diesem Bericht noch an anderer Stelle erwähnt werden. Daher kann das LO diesen FIDE-Bericht nicht verbreiten.</w:t>
            </w:r>
          </w:p>
          <w:p w:rsidR="00000000" w:rsidDel="00000000" w:rsidP="00000000" w:rsidRDefault="00000000" w:rsidRPr="00000000" w14:paraId="0000002B">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Dieser Bericht enthält konkrete Empfehlungen für Sanktionen gegen SD und DL. In jedem Fall sind diese Sanktionen jedoch Empfehlungen für die FIDE-Ethikkommission und somit noch nicht in Kraft. Diese Kommission wird eine Entscheidung treffen, vielleicht Ende August oder September.</w:t>
            </w:r>
          </w:p>
          <w:p w:rsidR="00000000" w:rsidDel="00000000" w:rsidP="00000000" w:rsidRDefault="00000000" w:rsidRPr="00000000" w14:paraId="0000002C">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Angesichts der Tatsache, dass einerseits konkrete Sanktionen von einem FIDE-Gremium vorgeschlagen werden, diese Sanktionen aber andererseits noch nicht bestätigt sind, ist nach Ansicht des LO Vorsicht geboten. Das LO verkündet erneut die Ordnungsmaßnahme, die am 1. März nach der Anhörung vom 26. Februar getroffen wurde. Die Ordnungsmaßnahme tritt am 1. August 2023 in Kraft und ist gültig, bis die FIDE-Ethikkommission eine Entscheidung trifft (mit einer maximalen Frist von fünf Monaten, d.h. bis zum 31. Dezember 2023). Sie gilt für alle von der FIDE homologierten und von der KBSB ELO bearbeiteten Turniere, die auf belgischem Gebiet stattfinden. Nach Ablauf dieser Frist wird eine konkrete Sanktion auf der Grundlage der endgültigen FIDE-Entscheidung in Betracht gezogen. </w:t>
            </w:r>
          </w:p>
          <w:p w:rsidR="00000000" w:rsidDel="00000000" w:rsidP="00000000" w:rsidRDefault="00000000" w:rsidRPr="00000000" w14:paraId="0000002D">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Die Begründung bleibt diese, die am 31. März an den SK und am 4. April an SD geschickt wurde, mit dem vertraulichen Inhalt des FIDE-Fairplay-Ausschusses als zusätzliche Begründung.</w:t>
            </w:r>
          </w:p>
          <w:p w:rsidR="00000000" w:rsidDel="00000000" w:rsidP="00000000" w:rsidRDefault="00000000" w:rsidRPr="00000000" w14:paraId="0000002E">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Es wird davon ausgegangen, dass SD bereits befragt wurde, da es sich immer noch um den Fall handelt, der am 26. Februar ein erstes Mal behandelt wurde.</w:t>
            </w:r>
          </w:p>
          <w:p w:rsidR="00000000" w:rsidDel="00000000" w:rsidP="00000000" w:rsidRDefault="00000000" w:rsidRPr="00000000" w14:paraId="0000002F">
            <w:pPr>
              <w:pageBreakBefore w:val="0"/>
              <w:spacing w:after="40" w:before="40" w:lineRule="auto"/>
              <w:ind w:left="148" w:firstLine="0"/>
              <w:rPr>
                <w:color w:val="6aa84f"/>
                <w:sz w:val="24"/>
                <w:szCs w:val="24"/>
              </w:rPr>
            </w:pPr>
            <w:r w:rsidDel="00000000" w:rsidR="00000000" w:rsidRPr="00000000">
              <w:rPr>
                <w:color w:val="6aa84f"/>
                <w:sz w:val="24"/>
                <w:szCs w:val="24"/>
                <w:rtl w:val="0"/>
              </w:rPr>
              <w:t xml:space="preserve">Die Entscheidung des BO ist einstimmig</w:t>
            </w:r>
          </w:p>
          <w:p w:rsidR="00000000" w:rsidDel="00000000" w:rsidP="00000000" w:rsidRDefault="00000000" w:rsidRPr="00000000" w14:paraId="00000030">
            <w:pPr>
              <w:pageBreakBefore w:val="0"/>
              <w:spacing w:after="40" w:before="40" w:lineRule="auto"/>
              <w:ind w:left="148" w:firstLine="0"/>
              <w:rPr>
                <w:color w:val="6aa84f"/>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pageBreakBefore w:val="0"/>
              <w:spacing w:after="40" w:before="40" w:lineRule="auto"/>
              <w:jc w:val="center"/>
              <w:rPr>
                <w:color w:val="000000"/>
                <w:sz w:val="24"/>
                <w:szCs w:val="24"/>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32">
            <w:pPr>
              <w:spacing w:after="40" w:before="40" w:lineRule="auto"/>
              <w:ind w:left="139" w:firstLine="0"/>
              <w:rPr>
                <w:sz w:val="24"/>
                <w:szCs w:val="24"/>
              </w:rPr>
            </w:pPr>
            <w:r w:rsidDel="00000000" w:rsidR="00000000" w:rsidRPr="00000000">
              <w:rPr>
                <w:sz w:val="24"/>
                <w:szCs w:val="24"/>
                <w:rtl w:val="0"/>
              </w:rPr>
              <w:t xml:space="preserve">L’affaire DL.</w:t>
            </w:r>
          </w:p>
          <w:p w:rsidR="00000000" w:rsidDel="00000000" w:rsidP="00000000" w:rsidRDefault="00000000" w:rsidRPr="00000000" w14:paraId="00000033">
            <w:pPr>
              <w:spacing w:after="40" w:before="40" w:lineRule="auto"/>
              <w:ind w:left="139" w:firstLine="0"/>
              <w:rPr>
                <w:sz w:val="24"/>
                <w:szCs w:val="24"/>
              </w:rPr>
            </w:pPr>
            <w:r w:rsidDel="00000000" w:rsidR="00000000" w:rsidRPr="00000000">
              <w:rPr>
                <w:sz w:val="24"/>
                <w:szCs w:val="24"/>
                <w:rtl w:val="0"/>
              </w:rPr>
              <w:t xml:space="preserve">À cet égard, l'OA décide que DL doit d'abord avoir la possibilité d'être entendu par l’OA avant qu'une mesure d’ordre puisse être prononcée.</w:t>
            </w:r>
          </w:p>
          <w:p w:rsidR="00000000" w:rsidDel="00000000" w:rsidP="00000000" w:rsidRDefault="00000000" w:rsidRPr="00000000" w14:paraId="00000034">
            <w:pPr>
              <w:spacing w:after="40" w:before="40" w:lineRule="auto"/>
              <w:ind w:left="139" w:firstLine="0"/>
              <w:rPr>
                <w:sz w:val="24"/>
                <w:szCs w:val="24"/>
              </w:rPr>
            </w:pPr>
            <w:r w:rsidDel="00000000" w:rsidR="00000000" w:rsidRPr="00000000">
              <w:rPr>
                <w:rtl w:val="0"/>
              </w:rPr>
            </w:r>
          </w:p>
        </w:tc>
        <w:tc>
          <w:tcPr>
            <w:tcBorders>
              <w:bottom w:color="ff0000" w:space="0" w:sz="4" w:val="single"/>
            </w:tcBorders>
          </w:tcPr>
          <w:p w:rsidR="00000000" w:rsidDel="00000000" w:rsidP="00000000" w:rsidRDefault="00000000" w:rsidRPr="00000000" w14:paraId="00000035">
            <w:pPr>
              <w:spacing w:after="40" w:before="40" w:lineRule="auto"/>
              <w:ind w:left="141.7322834645671" w:firstLine="0"/>
              <w:rPr>
                <w:color w:val="0000ff"/>
                <w:sz w:val="24"/>
                <w:szCs w:val="24"/>
              </w:rPr>
            </w:pPr>
            <w:r w:rsidDel="00000000" w:rsidR="00000000" w:rsidRPr="00000000">
              <w:rPr>
                <w:color w:val="0000ff"/>
                <w:sz w:val="24"/>
                <w:szCs w:val="24"/>
                <w:rtl w:val="0"/>
              </w:rPr>
              <w:t xml:space="preserve">De zaak DL.</w:t>
            </w:r>
          </w:p>
          <w:p w:rsidR="00000000" w:rsidDel="00000000" w:rsidP="00000000" w:rsidRDefault="00000000" w:rsidRPr="00000000" w14:paraId="00000036">
            <w:pPr>
              <w:spacing w:after="40" w:before="40" w:lineRule="auto"/>
              <w:ind w:left="141.7322834645671" w:firstLine="0"/>
              <w:rPr>
                <w:color w:val="0000ff"/>
                <w:sz w:val="24"/>
                <w:szCs w:val="24"/>
              </w:rPr>
            </w:pPr>
            <w:r w:rsidDel="00000000" w:rsidR="00000000" w:rsidRPr="00000000">
              <w:rPr>
                <w:color w:val="0000ff"/>
                <w:sz w:val="24"/>
                <w:szCs w:val="24"/>
                <w:rtl w:val="0"/>
              </w:rPr>
              <w:t xml:space="preserve">In dit verband beslist het BO dat DL eerst de kans moet krijgen gehoord te worden door het BO alvorens een ordemaatregel kan uitgesproken worden.</w:t>
            </w:r>
          </w:p>
        </w:tc>
        <w:tc>
          <w:tcPr/>
          <w:p w:rsidR="00000000" w:rsidDel="00000000" w:rsidP="00000000" w:rsidRDefault="00000000" w:rsidRPr="00000000" w14:paraId="00000037">
            <w:pPr>
              <w:pageBreakBefore w:val="0"/>
              <w:spacing w:after="40" w:before="40" w:lineRule="auto"/>
              <w:ind w:left="144" w:firstLine="0"/>
              <w:rPr>
                <w:color w:val="6aa84f"/>
                <w:sz w:val="24"/>
                <w:szCs w:val="24"/>
              </w:rPr>
            </w:pPr>
            <w:r w:rsidDel="00000000" w:rsidR="00000000" w:rsidRPr="00000000">
              <w:rPr>
                <w:color w:val="6aa84f"/>
                <w:sz w:val="24"/>
                <w:szCs w:val="24"/>
                <w:rtl w:val="0"/>
              </w:rPr>
              <w:t xml:space="preserve">Der Fall DL.</w:t>
            </w:r>
          </w:p>
          <w:p w:rsidR="00000000" w:rsidDel="00000000" w:rsidP="00000000" w:rsidRDefault="00000000" w:rsidRPr="00000000" w14:paraId="00000038">
            <w:pPr>
              <w:pageBreakBefore w:val="0"/>
              <w:spacing w:after="40" w:before="40" w:lineRule="auto"/>
              <w:ind w:left="144" w:firstLine="0"/>
              <w:rPr>
                <w:color w:val="6aa84f"/>
                <w:sz w:val="24"/>
                <w:szCs w:val="24"/>
              </w:rPr>
            </w:pPr>
            <w:r w:rsidDel="00000000" w:rsidR="00000000" w:rsidRPr="00000000">
              <w:rPr>
                <w:color w:val="6aa84f"/>
                <w:sz w:val="24"/>
                <w:szCs w:val="24"/>
                <w:rtl w:val="0"/>
              </w:rPr>
              <w:t xml:space="preserve">Diesbezüglich beschließt das LO, dass DL zunächst die Möglichkeit gegeben werden muss, von der LO angehört zu werden, bevor eine Ordnungsmaßnahme ausgesprochen werden kann.</w:t>
            </w:r>
          </w:p>
        </w:tc>
      </w:tr>
      <w:tr>
        <w:trPr>
          <w:cantSplit w:val="0"/>
          <w:tblHeader w:val="0"/>
        </w:trPr>
        <w:tc>
          <w:tcPr>
            <w:vAlign w:val="center"/>
          </w:tcPr>
          <w:p w:rsidR="00000000" w:rsidDel="00000000" w:rsidP="00000000" w:rsidRDefault="00000000" w:rsidRPr="00000000" w14:paraId="00000039">
            <w:pPr>
              <w:pageBreakBefore w:val="0"/>
              <w:spacing w:after="40" w:before="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3A">
            <w:pPr>
              <w:spacing w:after="40" w:before="40" w:lineRule="auto"/>
              <w:ind w:left="139" w:firstLine="0"/>
              <w:rPr>
                <w:sz w:val="24"/>
                <w:szCs w:val="24"/>
              </w:rPr>
            </w:pPr>
            <w:r w:rsidDel="00000000" w:rsidR="00000000" w:rsidRPr="00000000">
              <w:rPr>
                <w:sz w:val="24"/>
                <w:szCs w:val="24"/>
                <w:rtl w:val="0"/>
              </w:rPr>
              <w:t xml:space="preserve">Dossier KASK-Blitz</w:t>
            </w:r>
          </w:p>
          <w:p w:rsidR="00000000" w:rsidDel="00000000" w:rsidP="00000000" w:rsidRDefault="00000000" w:rsidRPr="00000000" w14:paraId="0000003B">
            <w:pPr>
              <w:spacing w:after="40" w:before="40" w:lineRule="auto"/>
              <w:ind w:left="139" w:firstLine="0"/>
              <w:rPr>
                <w:sz w:val="24"/>
                <w:szCs w:val="24"/>
              </w:rPr>
            </w:pPr>
            <w:r w:rsidDel="00000000" w:rsidR="00000000" w:rsidRPr="00000000">
              <w:rPr>
                <w:sz w:val="24"/>
                <w:szCs w:val="24"/>
                <w:rtl w:val="0"/>
              </w:rPr>
              <w:t xml:space="preserve">L’OA n'accepte pas les conditions de 9 rondes et d'un maximum de 80 participants. Ces chiffres sont trop bas pour le CB. Le KASK en sera informé et pourra bien sûr faire une nouvelle proposition.</w:t>
            </w:r>
          </w:p>
        </w:tc>
        <w:tc>
          <w:tcPr>
            <w:tcBorders>
              <w:top w:color="ff0000" w:space="0" w:sz="4" w:val="single"/>
            </w:tcBorders>
          </w:tcPr>
          <w:p w:rsidR="00000000" w:rsidDel="00000000" w:rsidP="00000000" w:rsidRDefault="00000000" w:rsidRPr="00000000" w14:paraId="0000003C">
            <w:pPr>
              <w:pageBreakBefore w:val="0"/>
              <w:spacing w:after="40" w:before="40" w:lineRule="auto"/>
              <w:ind w:left="141.7322834645671" w:firstLine="0"/>
              <w:rPr>
                <w:color w:val="0000ff"/>
                <w:sz w:val="24"/>
                <w:szCs w:val="24"/>
              </w:rPr>
            </w:pPr>
            <w:r w:rsidDel="00000000" w:rsidR="00000000" w:rsidRPr="00000000">
              <w:rPr>
                <w:color w:val="0000ff"/>
                <w:sz w:val="24"/>
                <w:szCs w:val="24"/>
                <w:rtl w:val="0"/>
              </w:rPr>
              <w:t xml:space="preserve">Dossier KASK-Blitz</w:t>
            </w:r>
          </w:p>
          <w:p w:rsidR="00000000" w:rsidDel="00000000" w:rsidP="00000000" w:rsidRDefault="00000000" w:rsidRPr="00000000" w14:paraId="0000003D">
            <w:pPr>
              <w:pageBreakBefore w:val="0"/>
              <w:spacing w:after="40" w:before="40" w:lineRule="auto"/>
              <w:ind w:left="141.7322834645671" w:firstLine="0"/>
              <w:rPr>
                <w:color w:val="0000ff"/>
                <w:sz w:val="24"/>
                <w:szCs w:val="24"/>
              </w:rPr>
            </w:pPr>
            <w:r w:rsidDel="00000000" w:rsidR="00000000" w:rsidRPr="00000000">
              <w:rPr>
                <w:color w:val="0000ff"/>
                <w:sz w:val="24"/>
                <w:szCs w:val="24"/>
                <w:rtl w:val="0"/>
              </w:rPr>
              <w:t xml:space="preserve">Het BO gaat niet akkoord met de voorwaarden van 9 ronden en maximaal 80 deelnemers. Deze aantallen zijn te laag voor het BK. KASK wordt hiervan op de hoogte gesteld en kan uiteraard een nieuw voorstel doen.</w:t>
            </w:r>
          </w:p>
        </w:tc>
        <w:tc>
          <w:tcPr/>
          <w:p w:rsidR="00000000" w:rsidDel="00000000" w:rsidP="00000000" w:rsidRDefault="00000000" w:rsidRPr="00000000" w14:paraId="0000003E">
            <w:pPr>
              <w:pageBreakBefore w:val="0"/>
              <w:spacing w:after="40" w:before="40" w:lineRule="auto"/>
              <w:ind w:left="144" w:firstLine="0"/>
              <w:rPr>
                <w:color w:val="6aa84f"/>
                <w:sz w:val="24"/>
                <w:szCs w:val="24"/>
              </w:rPr>
            </w:pPr>
            <w:r w:rsidDel="00000000" w:rsidR="00000000" w:rsidRPr="00000000">
              <w:rPr>
                <w:color w:val="6aa84f"/>
                <w:sz w:val="24"/>
                <w:szCs w:val="24"/>
                <w:rtl w:val="0"/>
              </w:rPr>
              <w:t xml:space="preserve">Sache KASK-Blitz</w:t>
            </w:r>
          </w:p>
          <w:p w:rsidR="00000000" w:rsidDel="00000000" w:rsidP="00000000" w:rsidRDefault="00000000" w:rsidRPr="00000000" w14:paraId="0000003F">
            <w:pPr>
              <w:pageBreakBefore w:val="0"/>
              <w:spacing w:after="40" w:before="40" w:lineRule="auto"/>
              <w:ind w:left="144" w:firstLine="0"/>
              <w:rPr>
                <w:color w:val="6aa84f"/>
                <w:sz w:val="24"/>
                <w:szCs w:val="24"/>
              </w:rPr>
            </w:pPr>
            <w:r w:rsidDel="00000000" w:rsidR="00000000" w:rsidRPr="00000000">
              <w:rPr>
                <w:color w:val="6aa84f"/>
                <w:sz w:val="24"/>
                <w:szCs w:val="24"/>
                <w:rtl w:val="0"/>
              </w:rPr>
              <w:t xml:space="preserve">Das LO akzeptiert nicht die Bedingungen von 9 Runden und maximal 80 Teilnehmern. Diese Zahlen sind für die BLM zu niedrig. KASK wird darüber informiert und kann natürlich einen neuen Vorschlag machen.</w:t>
            </w:r>
          </w:p>
        </w:tc>
      </w:tr>
      <w:tr>
        <w:trPr>
          <w:cantSplit w:val="0"/>
          <w:tblHeader w:val="0"/>
        </w:trPr>
        <w:tc>
          <w:tcPr>
            <w:vAlign w:val="center"/>
          </w:tcPr>
          <w:p w:rsidR="00000000" w:rsidDel="00000000" w:rsidP="00000000" w:rsidRDefault="00000000" w:rsidRPr="00000000" w14:paraId="00000040">
            <w:pPr>
              <w:pageBreakBefore w:val="0"/>
              <w:spacing w:after="40" w:before="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41">
            <w:pPr>
              <w:pageBreakBefore w:val="0"/>
              <w:spacing w:after="40" w:before="40" w:lineRule="auto"/>
              <w:ind w:left="0" w:firstLine="0"/>
              <w:rPr>
                <w:sz w:val="24"/>
                <w:szCs w:val="24"/>
              </w:rPr>
            </w:pPr>
            <w:r w:rsidDel="00000000" w:rsidR="00000000" w:rsidRPr="00000000">
              <w:rPr>
                <w:sz w:val="24"/>
                <w:szCs w:val="24"/>
                <w:rtl w:val="0"/>
              </w:rPr>
              <w:t xml:space="preserve">ICN - Bart Michiels</w:t>
            </w:r>
          </w:p>
          <w:p w:rsidR="00000000" w:rsidDel="00000000" w:rsidP="00000000" w:rsidRDefault="00000000" w:rsidRPr="00000000" w14:paraId="00000042">
            <w:pPr>
              <w:pageBreakBefore w:val="0"/>
              <w:spacing w:after="40" w:before="40" w:lineRule="auto"/>
              <w:ind w:left="0" w:firstLine="0"/>
              <w:rPr>
                <w:sz w:val="24"/>
                <w:szCs w:val="24"/>
              </w:rPr>
            </w:pPr>
            <w:r w:rsidDel="00000000" w:rsidR="00000000" w:rsidRPr="00000000">
              <w:rPr>
                <w:sz w:val="24"/>
                <w:szCs w:val="24"/>
                <w:rtl w:val="0"/>
              </w:rPr>
              <w:t xml:space="preserve">Il sera à nouveau pris contact avec MM et la décision sera prise lors de la prochaine réunion du 03/08.</w:t>
            </w:r>
          </w:p>
        </w:tc>
        <w:tc>
          <w:tcPr/>
          <w:p w:rsidR="00000000" w:rsidDel="00000000" w:rsidP="00000000" w:rsidRDefault="00000000" w:rsidRPr="00000000" w14:paraId="00000043">
            <w:pPr>
              <w:pageBreakBefore w:val="0"/>
              <w:spacing w:after="40" w:before="40" w:lineRule="auto"/>
              <w:ind w:left="141.7322834645671" w:firstLine="0"/>
              <w:rPr>
                <w:color w:val="0000ff"/>
                <w:sz w:val="24"/>
                <w:szCs w:val="24"/>
              </w:rPr>
            </w:pPr>
            <w:r w:rsidDel="00000000" w:rsidR="00000000" w:rsidRPr="00000000">
              <w:rPr>
                <w:color w:val="0000ff"/>
                <w:sz w:val="24"/>
                <w:szCs w:val="24"/>
                <w:rtl w:val="0"/>
              </w:rPr>
              <w:t xml:space="preserve">NIC - Bart Michiels</w:t>
            </w:r>
          </w:p>
          <w:p w:rsidR="00000000" w:rsidDel="00000000" w:rsidP="00000000" w:rsidRDefault="00000000" w:rsidRPr="00000000" w14:paraId="00000044">
            <w:pPr>
              <w:pageBreakBefore w:val="0"/>
              <w:spacing w:after="40" w:before="40" w:lineRule="auto"/>
              <w:ind w:left="141.7322834645671" w:firstLine="0"/>
              <w:rPr>
                <w:color w:val="0000ff"/>
                <w:sz w:val="24"/>
                <w:szCs w:val="24"/>
              </w:rPr>
            </w:pPr>
            <w:r w:rsidDel="00000000" w:rsidR="00000000" w:rsidRPr="00000000">
              <w:rPr>
                <w:color w:val="0000ff"/>
                <w:sz w:val="24"/>
                <w:szCs w:val="24"/>
                <w:rtl w:val="0"/>
              </w:rPr>
              <w:t xml:space="preserve">er wordt nogmaals contact genomen met MM en de beslissing zal genomen worden op de volgende vergadering van 03/08.</w:t>
            </w:r>
          </w:p>
        </w:tc>
        <w:tc>
          <w:tcPr/>
          <w:p w:rsidR="00000000" w:rsidDel="00000000" w:rsidP="00000000" w:rsidRDefault="00000000" w:rsidRPr="00000000" w14:paraId="00000045">
            <w:pPr>
              <w:pageBreakBefore w:val="0"/>
              <w:spacing w:after="40" w:before="40" w:lineRule="auto"/>
              <w:ind w:left="0" w:firstLine="0"/>
              <w:rPr>
                <w:color w:val="6aa84f"/>
                <w:sz w:val="24"/>
                <w:szCs w:val="24"/>
              </w:rPr>
            </w:pPr>
            <w:r w:rsidDel="00000000" w:rsidR="00000000" w:rsidRPr="00000000">
              <w:rPr>
                <w:color w:val="6aa84f"/>
                <w:sz w:val="24"/>
                <w:szCs w:val="24"/>
                <w:rtl w:val="0"/>
              </w:rPr>
              <w:t xml:space="preserve">NIC - Bart Michiels</w:t>
            </w:r>
          </w:p>
          <w:p w:rsidR="00000000" w:rsidDel="00000000" w:rsidP="00000000" w:rsidRDefault="00000000" w:rsidRPr="00000000" w14:paraId="00000046">
            <w:pPr>
              <w:pageBreakBefore w:val="0"/>
              <w:spacing w:after="40" w:before="40" w:lineRule="auto"/>
              <w:ind w:left="0" w:firstLine="0"/>
              <w:rPr>
                <w:color w:val="6aa84f"/>
                <w:sz w:val="24"/>
                <w:szCs w:val="24"/>
              </w:rPr>
            </w:pPr>
            <w:r w:rsidDel="00000000" w:rsidR="00000000" w:rsidRPr="00000000">
              <w:rPr>
                <w:color w:val="6aa84f"/>
                <w:sz w:val="24"/>
                <w:szCs w:val="24"/>
                <w:rtl w:val="0"/>
              </w:rPr>
              <w:t xml:space="preserve">MM wird erneut kontaktiert und die Entscheidung wird auf der nächsten Sitzung am 03.08. getroffen</w:t>
            </w:r>
          </w:p>
        </w:tc>
      </w:tr>
      <w:tr>
        <w:trPr>
          <w:cantSplit w:val="0"/>
          <w:trHeight w:val="400.97656250000006" w:hRule="atLeast"/>
          <w:tblHeader w:val="0"/>
        </w:trPr>
        <w:tc>
          <w:tcPr>
            <w:vAlign w:val="center"/>
          </w:tcPr>
          <w:p w:rsidR="00000000" w:rsidDel="00000000" w:rsidP="00000000" w:rsidRDefault="00000000" w:rsidRPr="00000000" w14:paraId="00000047">
            <w:pPr>
              <w:spacing w:after="40" w:before="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8">
            <w:pPr>
              <w:spacing w:after="40" w:before="40" w:lineRule="auto"/>
              <w:ind w:left="139" w:firstLine="0"/>
              <w:rPr>
                <w:sz w:val="24"/>
                <w:szCs w:val="24"/>
              </w:rPr>
            </w:pPr>
            <w:r w:rsidDel="00000000" w:rsidR="00000000" w:rsidRPr="00000000">
              <w:rPr>
                <w:sz w:val="24"/>
                <w:szCs w:val="24"/>
                <w:rtl w:val="0"/>
              </w:rPr>
              <w:t xml:space="preserve">Prochaine réunion: </w:t>
            </w:r>
          </w:p>
          <w:p w:rsidR="00000000" w:rsidDel="00000000" w:rsidP="00000000" w:rsidRDefault="00000000" w:rsidRPr="00000000" w14:paraId="00000049">
            <w:pPr>
              <w:spacing w:after="40" w:before="40" w:lineRule="auto"/>
              <w:ind w:left="139" w:firstLine="0"/>
              <w:rPr>
                <w:sz w:val="24"/>
                <w:szCs w:val="24"/>
              </w:rPr>
            </w:pPr>
            <w:r w:rsidDel="00000000" w:rsidR="00000000" w:rsidRPr="00000000">
              <w:rPr>
                <w:sz w:val="24"/>
                <w:szCs w:val="24"/>
                <w:rtl w:val="0"/>
              </w:rPr>
              <w:t xml:space="preserve">Jeudi 03/08 à 21 h, audition de DL</w:t>
            </w:r>
          </w:p>
        </w:tc>
        <w:tc>
          <w:tcPr/>
          <w:p w:rsidR="00000000" w:rsidDel="00000000" w:rsidP="00000000" w:rsidRDefault="00000000" w:rsidRPr="00000000" w14:paraId="0000004A">
            <w:pPr>
              <w:spacing w:after="40" w:before="40" w:lineRule="auto"/>
              <w:ind w:left="144" w:firstLine="0"/>
              <w:rPr>
                <w:color w:val="0000ff"/>
                <w:sz w:val="24"/>
                <w:szCs w:val="24"/>
              </w:rPr>
            </w:pPr>
            <w:r w:rsidDel="00000000" w:rsidR="00000000" w:rsidRPr="00000000">
              <w:rPr>
                <w:color w:val="0000ff"/>
                <w:sz w:val="24"/>
                <w:szCs w:val="24"/>
                <w:rtl w:val="0"/>
              </w:rPr>
              <w:t xml:space="preserve">Volgende vergadering: </w:t>
            </w:r>
          </w:p>
          <w:p w:rsidR="00000000" w:rsidDel="00000000" w:rsidP="00000000" w:rsidRDefault="00000000" w:rsidRPr="00000000" w14:paraId="0000004B">
            <w:pPr>
              <w:spacing w:after="40" w:before="40" w:lineRule="auto"/>
              <w:ind w:left="144" w:firstLine="0"/>
              <w:rPr>
                <w:b w:val="1"/>
                <w:color w:val="0000ff"/>
                <w:sz w:val="24"/>
                <w:szCs w:val="24"/>
              </w:rPr>
            </w:pPr>
            <w:r w:rsidDel="00000000" w:rsidR="00000000" w:rsidRPr="00000000">
              <w:rPr>
                <w:color w:val="0000ff"/>
                <w:sz w:val="24"/>
                <w:szCs w:val="24"/>
                <w:rtl w:val="0"/>
              </w:rPr>
              <w:t xml:space="preserve">donderdag 3-8 om 21u hoorzitting DL</w:t>
            </w:r>
            <w:r w:rsidDel="00000000" w:rsidR="00000000" w:rsidRPr="00000000">
              <w:rPr>
                <w:rtl w:val="0"/>
              </w:rPr>
            </w:r>
          </w:p>
        </w:tc>
        <w:tc>
          <w:tcPr/>
          <w:p w:rsidR="00000000" w:rsidDel="00000000" w:rsidP="00000000" w:rsidRDefault="00000000" w:rsidRPr="00000000" w14:paraId="0000004C">
            <w:pPr>
              <w:spacing w:after="40" w:before="40" w:lineRule="auto"/>
              <w:ind w:left="144" w:firstLine="0"/>
              <w:rPr>
                <w:color w:val="6aa84f"/>
                <w:sz w:val="24"/>
                <w:szCs w:val="24"/>
              </w:rPr>
            </w:pPr>
            <w:r w:rsidDel="00000000" w:rsidR="00000000" w:rsidRPr="00000000">
              <w:rPr>
                <w:color w:val="6aa84f"/>
                <w:sz w:val="24"/>
                <w:szCs w:val="24"/>
                <w:rtl w:val="0"/>
              </w:rPr>
              <w:t xml:space="preserve">Nächste Sitzung: </w:t>
            </w:r>
          </w:p>
          <w:p w:rsidR="00000000" w:rsidDel="00000000" w:rsidP="00000000" w:rsidRDefault="00000000" w:rsidRPr="00000000" w14:paraId="0000004D">
            <w:pPr>
              <w:spacing w:after="40" w:before="40" w:lineRule="auto"/>
              <w:ind w:left="144" w:firstLine="0"/>
              <w:rPr>
                <w:color w:val="6aa84f"/>
                <w:sz w:val="24"/>
                <w:szCs w:val="24"/>
              </w:rPr>
            </w:pPr>
            <w:r w:rsidDel="00000000" w:rsidR="00000000" w:rsidRPr="00000000">
              <w:rPr>
                <w:color w:val="6aa84f"/>
                <w:sz w:val="24"/>
                <w:szCs w:val="24"/>
                <w:rtl w:val="0"/>
              </w:rPr>
              <w:t xml:space="preserve">Donnerstag 3.08 um 21 Uhr, Verhôr DL</w:t>
            </w:r>
          </w:p>
        </w:tc>
      </w:tr>
    </w:tbl>
    <w:p w:rsidR="00000000" w:rsidDel="00000000" w:rsidP="00000000" w:rsidRDefault="00000000" w:rsidRPr="00000000" w14:paraId="0000004E">
      <w:pPr>
        <w:pageBreakBefore w:val="0"/>
        <w:spacing w:after="60" w:before="60" w:line="240" w:lineRule="auto"/>
        <w:rPr>
          <w:sz w:val="24"/>
          <w:szCs w:val="24"/>
        </w:rPr>
      </w:pPr>
      <w:r w:rsidDel="00000000" w:rsidR="00000000" w:rsidRPr="00000000">
        <w:rPr>
          <w:rtl w:val="0"/>
        </w:rPr>
      </w:r>
    </w:p>
    <w:sectPr>
      <w:footerReference r:id="rId7" w:type="default"/>
      <w:pgSz w:h="11906" w:w="16838" w:orient="landscape"/>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pPr>
      <w:spacing w:line="240" w:lineRule="auto"/>
    </w:pPr>
    <w:tblPr>
      <w:tblStyleRowBandSize w:val="1"/>
      <w:tblStyleColBandSize w:val="1"/>
      <w:tblCellMar>
        <w:top w:w="28.0" w:type="dxa"/>
        <w:left w:w="0.0" w:type="dxa"/>
        <w:bottom w:w="28.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