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24123" w14:textId="3825360B" w:rsidR="004873F4" w:rsidRPr="007E22EB" w:rsidRDefault="00E83AF0" w:rsidP="004873F4">
      <w:pPr>
        <w:jc w:val="center"/>
        <w:rPr>
          <w:rFonts w:ascii="Artifakt Element" w:hAnsi="Artifakt Element"/>
          <w:b/>
          <w:bCs/>
          <w:sz w:val="40"/>
          <w:szCs w:val="40"/>
          <w:lang w:eastAsia="pt-BR"/>
        </w:rPr>
      </w:pPr>
      <w:r w:rsidRPr="007E22E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C611243" wp14:editId="7C4B7F5F">
            <wp:simplePos x="0" y="0"/>
            <wp:positionH relativeFrom="margin">
              <wp:posOffset>175895</wp:posOffset>
            </wp:positionH>
            <wp:positionV relativeFrom="paragraph">
              <wp:posOffset>464820</wp:posOffset>
            </wp:positionV>
            <wp:extent cx="5044440" cy="3589020"/>
            <wp:effectExtent l="38100" t="38100" r="41910" b="30480"/>
            <wp:wrapTight wrapText="bothSides">
              <wp:wrapPolygon edited="0">
                <wp:start x="-163" y="-229"/>
                <wp:lineTo x="-163" y="21669"/>
                <wp:lineTo x="21698" y="21669"/>
                <wp:lineTo x="21698" y="-229"/>
                <wp:lineTo x="-163" y="-229"/>
              </wp:wrapPolygon>
            </wp:wrapTight>
            <wp:docPr id="1" name="Imagem 1" descr="Under Control - Team 1156 - The Blue Alli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 Control - Team 1156 - The Blue Allia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358902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96A87" w:rsidRPr="007E22EB">
        <w:rPr>
          <w:rFonts w:ascii="Artifakt Element" w:hAnsi="Artifakt Element"/>
          <w:b/>
          <w:bCs/>
          <w:sz w:val="40"/>
          <w:szCs w:val="40"/>
          <w:lang w:eastAsia="pt-BR"/>
        </w:rPr>
        <w:t xml:space="preserve">1156 </w:t>
      </w:r>
      <w:r w:rsidR="007E22EB" w:rsidRPr="007E22EB">
        <w:rPr>
          <w:rFonts w:ascii="Artifakt Element" w:hAnsi="Artifakt Element"/>
          <w:b/>
          <w:bCs/>
          <w:sz w:val="40"/>
          <w:szCs w:val="40"/>
          <w:lang w:eastAsia="pt-BR"/>
        </w:rPr>
        <w:t>[</w:t>
      </w:r>
      <w:r w:rsidR="00596A87" w:rsidRPr="007E22EB">
        <w:rPr>
          <w:rFonts w:ascii="Artifakt Element" w:hAnsi="Artifakt Element"/>
          <w:b/>
          <w:bCs/>
          <w:sz w:val="40"/>
          <w:szCs w:val="40"/>
          <w:lang w:eastAsia="pt-BR"/>
        </w:rPr>
        <w:t>Under Control</w:t>
      </w:r>
      <w:r w:rsidR="007E22EB" w:rsidRPr="007E22EB">
        <w:rPr>
          <w:rFonts w:ascii="Artifakt Element" w:hAnsi="Artifakt Element"/>
          <w:b/>
          <w:bCs/>
          <w:sz w:val="40"/>
          <w:szCs w:val="40"/>
          <w:lang w:eastAsia="pt-BR"/>
        </w:rPr>
        <w:t>]</w:t>
      </w:r>
    </w:p>
    <w:p w14:paraId="1A528BE9" w14:textId="0988A966" w:rsidR="00596A87" w:rsidRDefault="00596A87" w:rsidP="00596A87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Equipe:</w:t>
      </w:r>
      <w:r w:rsidRPr="00596A87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FRC 1156 – Under Control</w:t>
      </w:r>
      <w:r w:rsidRPr="00596A87">
        <w:rPr>
          <w:rFonts w:ascii="Artifakt Element" w:eastAsia="Times New Roman" w:hAnsi="Artifakt Element" w:cs="Times New Roman"/>
          <w:sz w:val="24"/>
          <w:szCs w:val="24"/>
          <w:lang w:eastAsia="pt-BR"/>
        </w:rPr>
        <w:br/>
      </w:r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Mentor:</w:t>
      </w:r>
      <w:r w:rsidRPr="00596A87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Bruno</w:t>
      </w:r>
      <w:r w:rsidRPr="00596A87">
        <w:rPr>
          <w:rFonts w:ascii="Artifakt Element" w:eastAsia="Times New Roman" w:hAnsi="Artifakt Element" w:cs="Times New Roman"/>
          <w:sz w:val="24"/>
          <w:szCs w:val="24"/>
          <w:lang w:eastAsia="pt-BR"/>
        </w:rPr>
        <w:br/>
      </w:r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Principais temas observados:</w:t>
      </w:r>
      <w:r w:rsidRPr="00596A87">
        <w:rPr>
          <w:rFonts w:ascii="Artifakt Element" w:eastAsia="Times New Roman" w:hAnsi="Artifakt Element" w:cs="Times New Roman"/>
          <w:sz w:val="24"/>
          <w:szCs w:val="24"/>
          <w:lang w:eastAsia="pt-BR"/>
        </w:rPr>
        <w:t xml:space="preserve"> processo de projeto, capacitação de novos alunos, estrutura de mentoria, programação e estratégia de pilotagem.</w:t>
      </w:r>
    </w:p>
    <w:p w14:paraId="7C8D9DB5" w14:textId="3B0DF4DF" w:rsidR="00E83AF0" w:rsidRDefault="00E83AF0" w:rsidP="00596A87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32642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BC05DE" w14:textId="51C70EF5" w:rsidR="00E83AF0" w:rsidRPr="00B22148" w:rsidRDefault="00E83AF0">
          <w:pPr>
            <w:pStyle w:val="CabealhodoSumrio"/>
            <w:rPr>
              <w:rFonts w:ascii="Artifakt Element" w:hAnsi="Artifakt Element"/>
              <w:b/>
              <w:bCs/>
              <w:sz w:val="24"/>
              <w:szCs w:val="24"/>
            </w:rPr>
          </w:pPr>
          <w:r w:rsidRPr="00B22148">
            <w:rPr>
              <w:rFonts w:ascii="Artifakt Element" w:hAnsi="Artifakt Element"/>
              <w:b/>
              <w:bCs/>
              <w:sz w:val="24"/>
              <w:szCs w:val="24"/>
            </w:rPr>
            <w:t>Sumário</w:t>
          </w:r>
        </w:p>
        <w:p w14:paraId="722E114F" w14:textId="7E0FF6FC" w:rsidR="00A725DF" w:rsidRPr="00B22148" w:rsidRDefault="00E83AF0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r w:rsidRPr="00B22148">
            <w:rPr>
              <w:rFonts w:ascii="Artifakt Element" w:hAnsi="Artifakt Element"/>
              <w:sz w:val="24"/>
              <w:szCs w:val="24"/>
            </w:rPr>
            <w:fldChar w:fldCharType="begin"/>
          </w:r>
          <w:r w:rsidRPr="00B22148">
            <w:rPr>
              <w:rFonts w:ascii="Artifakt Element" w:hAnsi="Artifakt Element"/>
              <w:sz w:val="24"/>
              <w:szCs w:val="24"/>
            </w:rPr>
            <w:instrText xml:space="preserve"> TOC \o "1-3" \h \z \u </w:instrText>
          </w:r>
          <w:r w:rsidRPr="00B22148">
            <w:rPr>
              <w:rFonts w:ascii="Artifakt Element" w:hAnsi="Artifakt Element"/>
              <w:sz w:val="24"/>
              <w:szCs w:val="24"/>
            </w:rPr>
            <w:fldChar w:fldCharType="separate"/>
          </w:r>
          <w:hyperlink w:anchor="_Toc238739452" w:history="1">
            <w:r w:rsidR="00A725DF" w:rsidRPr="00B2214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1. Processo de definição e desenvolvimento do robô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_Toc238739452 \h </w:instrTex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1249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5AFD88" w14:textId="54AC7DBC" w:rsidR="00A725DF" w:rsidRPr="00B22148" w:rsidRDefault="007F4269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453" w:history="1">
            <w:r w:rsidR="00A725DF" w:rsidRPr="00B2214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2. CAD e integração dos subsistemas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_Toc238739453 \h </w:instrTex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1249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2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BD31BB" w14:textId="281871EE" w:rsidR="00A725DF" w:rsidRPr="00B22148" w:rsidRDefault="007F4269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454" w:history="1">
            <w:r w:rsidR="00A725DF" w:rsidRPr="00B2214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3. Capacitação dos novos alunos e aprendizagem por desafios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_Toc238739454 \h </w:instrTex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1249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29BF5A" w14:textId="01FCEA88" w:rsidR="00A725DF" w:rsidRPr="00B22148" w:rsidRDefault="007F4269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455" w:history="1">
            <w:r w:rsidR="00A725DF" w:rsidRPr="00B2214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4. Estrutura de mentoria e multidisciplinaridade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_Toc238739455 \h </w:instrTex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1249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3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9ED99A" w14:textId="3E4424FB" w:rsidR="00A725DF" w:rsidRPr="00B22148" w:rsidRDefault="007F4269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456" w:history="1">
            <w:r w:rsidR="00A725DF" w:rsidRPr="00B2214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5. Programação, motores e recursos da CTRE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_Toc238739456 \h </w:instrTex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1249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0ED718" w14:textId="09C2041A" w:rsidR="00A725DF" w:rsidRPr="00B22148" w:rsidRDefault="007F4269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457" w:history="1">
            <w:r w:rsidR="00A725DF" w:rsidRPr="00B2214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6. Estratégia de pilotagem e orientação do Swerve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_Toc238739457 \h </w:instrTex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1249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4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5E67A5" w14:textId="4B6F101E" w:rsidR="00A725DF" w:rsidRPr="00B22148" w:rsidRDefault="007F4269">
          <w:pPr>
            <w:pStyle w:val="Sumrio3"/>
            <w:tabs>
              <w:tab w:val="right" w:leader="dot" w:pos="8494"/>
            </w:tabs>
            <w:rPr>
              <w:rFonts w:ascii="Artifakt Element" w:eastAsiaTheme="minorEastAsia" w:hAnsi="Artifakt Element"/>
              <w:noProof/>
              <w:sz w:val="24"/>
              <w:szCs w:val="24"/>
              <w:lang w:eastAsia="pt-BR"/>
            </w:rPr>
          </w:pPr>
          <w:hyperlink w:anchor="_Toc238739458" w:history="1">
            <w:r w:rsidR="00A725DF" w:rsidRPr="00B22148">
              <w:rPr>
                <w:rStyle w:val="Hyperlink"/>
                <w:rFonts w:ascii="Artifakt Element" w:eastAsia="Times New Roman" w:hAnsi="Artifakt Element" w:cs="Times New Roman"/>
                <w:b/>
                <w:bCs/>
                <w:noProof/>
                <w:sz w:val="24"/>
                <w:szCs w:val="24"/>
                <w:lang w:eastAsia="pt-BR"/>
              </w:rPr>
              <w:t>7. Principais aprendizados para nossos times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ab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begin"/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instrText xml:space="preserve"> PAGEREF _Toc238739458 \h </w:instrTex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separate"/>
            </w:r>
            <w:r w:rsidR="00C12491">
              <w:rPr>
                <w:rFonts w:ascii="Artifakt Element" w:hAnsi="Artifakt Element"/>
                <w:noProof/>
                <w:webHidden/>
                <w:sz w:val="24"/>
                <w:szCs w:val="24"/>
              </w:rPr>
              <w:t>5</w:t>
            </w:r>
            <w:r w:rsidR="00A725DF" w:rsidRPr="00B22148">
              <w:rPr>
                <w:rFonts w:ascii="Artifakt Element" w:hAnsi="Artifakt Element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39DAF6" w14:textId="0BBAFA10" w:rsidR="00E83AF0" w:rsidRDefault="00E83AF0">
          <w:r w:rsidRPr="00B22148">
            <w:rPr>
              <w:rFonts w:ascii="Artifakt Element" w:hAnsi="Artifakt Element"/>
              <w:b/>
              <w:bCs/>
              <w:sz w:val="24"/>
              <w:szCs w:val="24"/>
            </w:rPr>
            <w:fldChar w:fldCharType="end"/>
          </w:r>
        </w:p>
      </w:sdtContent>
    </w:sdt>
    <w:p w14:paraId="1F23D5F1" w14:textId="77777777" w:rsidR="00A725DF" w:rsidRPr="00596A87" w:rsidRDefault="00A725DF" w:rsidP="00596A87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4"/>
          <w:szCs w:val="24"/>
          <w:lang w:eastAsia="pt-BR"/>
        </w:rPr>
      </w:pPr>
    </w:p>
    <w:p w14:paraId="6BCE2450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0" w:name="_Toc238739452"/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>1. Processo de definição e desenvolvimento do robô</w:t>
      </w:r>
      <w:bookmarkEnd w:id="0"/>
    </w:p>
    <w:p w14:paraId="5E53F384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Bruno, a equipe utiliza como referência uma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planilha desenvolvida pela equipe 4481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, que estrutura o processo de desenvolvimento do robô em etapas.</w:t>
      </w:r>
    </w:p>
    <w:p w14:paraId="55B202DE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Após a divulgação do jogo, a equipe inicia o processo analisando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mecanismos semelhantes utilizados em jogos de temporadas anteriores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, buscando referências de soluções que já foram aplicadas e validadas em competição.</w:t>
      </w:r>
    </w:p>
    <w:p w14:paraId="2924D86A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 partir disso, os alunos desenvolvem esboços em CAD contemplando os principais subsistemas e, principalmente, avaliando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como esses mecanismos irão interagir entre si dentro do robô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058F2537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Na temporada de 2026, a equipe desenvolveu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três propostas diferentes de robô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 Cada proposta consistia em um esboço 3D simplificado, apresentando uma solução aparentemente funcional para cada subsistema.</w:t>
      </w:r>
    </w:p>
    <w:p w14:paraId="5F936620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As propostas foram apresentadas e discutidas coletivamente e, posteriormente, a equipe realizou uma votação para definir qual conceito seria desenvolvido.</w:t>
      </w:r>
    </w:p>
    <w:p w14:paraId="34C1CDD7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O cronograma utilizado pela equipe segue aproximadamente esta estrutura:</w:t>
      </w:r>
    </w:p>
    <w:p w14:paraId="0A028062" w14:textId="77777777" w:rsidR="00596A87" w:rsidRPr="00596A87" w:rsidRDefault="00596A87" w:rsidP="00596A8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1ª semana: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análise do jogo, levantamento de referências, elaboração e discussão das propostas e definição do conceito do robô; </w:t>
      </w:r>
    </w:p>
    <w:p w14:paraId="1D03E9D3" w14:textId="77777777" w:rsidR="00596A87" w:rsidRPr="00596A87" w:rsidRDefault="00596A87" w:rsidP="00596A8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2ª sexta-feira após o lançamento: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CAD completo; </w:t>
      </w:r>
    </w:p>
    <w:p w14:paraId="3A2DFC4C" w14:textId="77777777" w:rsidR="00596A87" w:rsidRPr="00596A87" w:rsidRDefault="00596A87" w:rsidP="00596A8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1ª semana de fevereiro: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robô definitivo concluído. </w:t>
      </w:r>
    </w:p>
    <w:p w14:paraId="1134D5BD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ponto importante destacado por Bruno é que a equipe busca projetar desde o início um robô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compatível com sua capacidade real de fabricação e execução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 Dessa forma, o projeto escolhido já considera ferramentas, conhecimento, tempo e recursos disponíveis, evitando desenvolver uma solução excessivamente complexa que posteriormente precise ser completamente refeita.</w:t>
      </w:r>
    </w:p>
    <w:p w14:paraId="32F87D3E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1" w:name="_Toc238739453"/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2. CAD e integração dos subsistemas</w:t>
      </w:r>
      <w:bookmarkEnd w:id="1"/>
    </w:p>
    <w:p w14:paraId="197E2EB8" w14:textId="1485B749" w:rsidR="00A03EC2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Assim como outras equipes visitadas, a Under Control utiliza o </w:t>
      </w:r>
      <w:proofErr w:type="spellStart"/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Onshape</w:t>
      </w:r>
      <w:proofErr w:type="spellEnd"/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como principal plataforma de CAD.</w:t>
      </w:r>
    </w:p>
    <w:p w14:paraId="74436419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Um ponto interessante do processo é que os esboços iniciais já são desenvolvidos em 3D. Mesmo sem detalhamento completo, cada proposta precisa demonstrar aproximadamente:</w:t>
      </w:r>
    </w:p>
    <w:p w14:paraId="5864031A" w14:textId="77777777" w:rsidR="00596A87" w:rsidRPr="00596A87" w:rsidRDefault="00596A87" w:rsidP="00596A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Onde cada subsistema ficará; </w:t>
      </w:r>
    </w:p>
    <w:p w14:paraId="0FD7DC22" w14:textId="77777777" w:rsidR="00596A87" w:rsidRPr="00596A87" w:rsidRDefault="00596A87" w:rsidP="00596A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Quanto espaço ocupará; </w:t>
      </w:r>
    </w:p>
    <w:p w14:paraId="6724B61A" w14:textId="77777777" w:rsidR="00596A87" w:rsidRPr="00596A87" w:rsidRDefault="00596A87" w:rsidP="00596A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os mecanismos irão interagir; </w:t>
      </w:r>
    </w:p>
    <w:p w14:paraId="066AF4AA" w14:textId="77777777" w:rsidR="00596A87" w:rsidRPr="00596A87" w:rsidRDefault="00596A87" w:rsidP="00596A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Como a peça de jogo percorrerá o robô; </w:t>
      </w:r>
    </w:p>
    <w:p w14:paraId="5038E2D7" w14:textId="77777777" w:rsidR="00596A87" w:rsidRPr="00596A87" w:rsidRDefault="00596A87" w:rsidP="00596A8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 os mecanismos aparentam ser mecanicamente viáveis. </w:t>
      </w:r>
    </w:p>
    <w:p w14:paraId="31633E14" w14:textId="18D30696" w:rsid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Portanto, a equipe não desenvolve cada mecanismo de forma completamente isolada. Desde o início existe uma preocupação em fazer com que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todos os subsistemas “conversem” entre si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72B075BE" w14:textId="77777777" w:rsidR="00A03EC2" w:rsidRPr="00596A87" w:rsidRDefault="00A03EC2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4751554A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2" w:name="_Toc238739454"/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3. Capacitação dos novos alunos e aprendizagem por desafios</w:t>
      </w:r>
      <w:bookmarkEnd w:id="2"/>
    </w:p>
    <w:p w14:paraId="1641D16D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Após o encerramento da temporada, a equipe abre uma nova turma para entrada de novos integrantes.</w:t>
      </w:r>
    </w:p>
    <w:p w14:paraId="760BF865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Um dos pontos mais interessantes apresentados por Bruno é a metodologia utilizada para capacitação. Em vez de ensinar todos os conteúdos de CAD, Mecânica, Elétrica e Programação de maneira isolada e sequencial, os mentores apresentam aos alunos uma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situação-problema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4452491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Um exemplo seria solicitar que os novos integrantes desenvolvam um robô inspirado em uma equipe que apresentou bom desempenho durante a temporada.</w:t>
      </w:r>
    </w:p>
    <w:p w14:paraId="2B989B7B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A partir desse desafio, os próprios alunos precisam pesquisar, estudar os mecanismos, entender seu funcionamento e buscar os conhecimentos necessários para desenvolver uma solução.</w:t>
      </w:r>
    </w:p>
    <w:p w14:paraId="18917821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Os mentores procuram não entregar imediatamente a resposta. A intervenção acontece principalmente quando percebem que:</w:t>
      </w:r>
    </w:p>
    <w:p w14:paraId="1FBA578B" w14:textId="77777777" w:rsidR="00596A87" w:rsidRPr="00596A87" w:rsidRDefault="00596A87" w:rsidP="00596A8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nível do problema está muito acima do conhecimento atual dos alunos; </w:t>
      </w:r>
    </w:p>
    <w:p w14:paraId="4ABD22E6" w14:textId="77777777" w:rsidR="00596A87" w:rsidRPr="00596A87" w:rsidRDefault="00596A87" w:rsidP="00596A8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Os estudantes não conseguem avançar; </w:t>
      </w:r>
    </w:p>
    <w:p w14:paraId="54F09C42" w14:textId="77777777" w:rsidR="00596A87" w:rsidRPr="00596A87" w:rsidRDefault="00596A87" w:rsidP="00596A8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Falta uma linha de raciocínio para continuar o desenvolvimento. </w:t>
      </w:r>
    </w:p>
    <w:p w14:paraId="2DA76D7D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Nesse momento, os mentores ajudam a direcionar o pensamento e fornecem o conhecimento necessário para que os alunos consigam continuar.</w:t>
      </w:r>
    </w:p>
    <w:p w14:paraId="4C1065A3" w14:textId="36B17EB9" w:rsidR="00A03EC2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Essa metodologia incentiva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autonomia, pesquisa, resolução de problemas e capacidade de aprender conforme a necessidade do projeto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, características diretamente relacionadas à realidade de uma temporada de FRC.</w:t>
      </w:r>
    </w:p>
    <w:p w14:paraId="6ACF339D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3" w:name="_Toc238739455"/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4. Estrutura de mentoria e multidisciplinaridade</w:t>
      </w:r>
      <w:bookmarkEnd w:id="3"/>
    </w:p>
    <w:p w14:paraId="29FBEE9F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Bruno, a equipe possui apenas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três mentores diretamente envolvidos na área técnica do robô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40FE027C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Dois deles possuem conhecimento multidisciplinar e conseguem atuar em praticamente todas as principais áreas técnicas, incluindo:</w:t>
      </w:r>
    </w:p>
    <w:p w14:paraId="6BB215C7" w14:textId="77777777" w:rsidR="00596A87" w:rsidRPr="00596A87" w:rsidRDefault="00596A87" w:rsidP="00596A8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CAD e Mecânica; </w:t>
      </w:r>
    </w:p>
    <w:p w14:paraId="29FA5F1E" w14:textId="77777777" w:rsidR="00596A87" w:rsidRPr="00596A87" w:rsidRDefault="00596A87" w:rsidP="00596A8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Elétrica; </w:t>
      </w:r>
    </w:p>
    <w:p w14:paraId="051FC410" w14:textId="77777777" w:rsidR="00596A87" w:rsidRPr="00596A87" w:rsidRDefault="00596A87" w:rsidP="00596A8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Programação. </w:t>
      </w:r>
    </w:p>
    <w:p w14:paraId="2EB15C33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lastRenderedPageBreak/>
        <w:t xml:space="preserve">O terceiro mentor possui atuação mais específica na área de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usinagem e fabricação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652AE7D1" w14:textId="2C17EBFE" w:rsid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Um ponto interessante dessa estrutura é a existência de mentores capazes de compreender o robô como um sistema completo, em vez de conhecer apenas uma área isoladamente. Isso facilita a tomada de decisões que envolvem simultaneamente Mecânica, Elétrica e Programação.</w:t>
      </w:r>
    </w:p>
    <w:p w14:paraId="2CC53795" w14:textId="77777777" w:rsidR="00A03EC2" w:rsidRPr="00596A87" w:rsidRDefault="00A03EC2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A0C2E38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4" w:name="_Toc238739456"/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5. Programação, motores e recursos da CTRE</w:t>
      </w:r>
      <w:bookmarkEnd w:id="4"/>
    </w:p>
    <w:p w14:paraId="0055E666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Durante a conversa sobre programação, Bruno comentou sobre os recursos adicionais disponíveis por meio das licenças da CTRE utilizadas pela equipe.</w:t>
      </w:r>
    </w:p>
    <w:p w14:paraId="7A74988A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Segundo ele, a licença utilizada permite explorar funcionalidades adicionais dos controladores, incluindo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controle PID baseado em torque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e outros recursos avançados. Bruno também mencionou um ganho relacionado à disponibilidade de torque dos motores com determinados recursos habilitados.</w:t>
      </w:r>
    </w:p>
    <w:p w14:paraId="660CDCE5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Esse ponto demonstra que a equipe procura explorar não apenas o funcionamento básico dos controladores, mas também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recursos avançados de controle disponíveis no ecossistema utilizado pelo robô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68321AC" w14:textId="24F20D79" w:rsidR="00596A87" w:rsidRDefault="00596A87" w:rsidP="00596A87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Para disseminação técnica aos times, vale tratar a informação específica sobre o percentual de torque mencionado durante a visita como um relato do mentor e validar posteriormente na documentação da CTRE antes de utilizá-la como especificação técnica.</w:t>
      </w:r>
    </w:p>
    <w:p w14:paraId="74FB933A" w14:textId="77777777" w:rsidR="00A03EC2" w:rsidRPr="00596A87" w:rsidRDefault="00A03EC2" w:rsidP="00596A87">
      <w:pPr>
        <w:spacing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</w:p>
    <w:p w14:paraId="3FAF8D37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5" w:name="_Toc238739457"/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6. Estratégia de pilotagem e orientação do Swerve</w:t>
      </w:r>
      <w:bookmarkEnd w:id="5"/>
    </w:p>
    <w:p w14:paraId="4CC946A1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A Under Control utiliza uma estratégia interessante para controlar a orientação do robô.</w:t>
      </w:r>
    </w:p>
    <w:p w14:paraId="60A76B8C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O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joystick esquerdo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é utilizado para determinar a direção de deslocamento, enquanto o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joystick direito determina para onde a frente do robô deve apontar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</w:t>
      </w:r>
    </w:p>
    <w:p w14:paraId="11D5CAA1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Por exemplo, se o piloto direcionar o joystick direito para baixo, o sistema entende que aquela é a orientação desejada para a frente do robô. A partir disso, o piloto pode movimentar o joystick esquerdo para deslocar o robô enquanto o controle mantém sua frente apontada para a orientação definida.</w:t>
      </w:r>
    </w:p>
    <w:p w14:paraId="5790DA7D" w14:textId="77777777" w:rsidR="0065376C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Na prática, isso separa duas decisões:</w:t>
      </w:r>
    </w:p>
    <w:p w14:paraId="7E015DF5" w14:textId="008709D5" w:rsidR="00596A87" w:rsidRPr="00596A87" w:rsidRDefault="00596A87" w:rsidP="0065376C">
      <w:pPr>
        <w:spacing w:before="100" w:beforeAutospacing="1" w:after="100" w:afterAutospacing="1" w:line="240" w:lineRule="auto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Joystick esquerdo → para onde o robô deve se deslocar.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br/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Joystick direito → para onde o robô deve ficar orientado.</w:t>
      </w:r>
    </w:p>
    <w:p w14:paraId="68EACE2D" w14:textId="52575380" w:rsidR="00A03EC2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Essa abordagem permite que o Driver controle simultaneamente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translação e orientação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, sendo especialmente interessante para robôs Swerve e mecanismos que precisam permanecer apontados para determinados locais do campo.</w:t>
      </w:r>
    </w:p>
    <w:p w14:paraId="2F3A77E6" w14:textId="4272CCED" w:rsidR="00596A87" w:rsidRPr="00596A87" w:rsidRDefault="00596A87" w:rsidP="00596A87">
      <w:pPr>
        <w:spacing w:before="100" w:beforeAutospacing="1" w:after="100" w:afterAutospacing="1" w:line="240" w:lineRule="auto"/>
        <w:jc w:val="both"/>
        <w:outlineLvl w:val="2"/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</w:pPr>
      <w:bookmarkStart w:id="6" w:name="_Toc238739458"/>
      <w:r w:rsidRPr="00596A87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lastRenderedPageBreak/>
        <w:t xml:space="preserve">7. </w:t>
      </w:r>
      <w:bookmarkEnd w:id="6"/>
      <w:r w:rsidR="00A725DF">
        <w:rPr>
          <w:rFonts w:ascii="Artifakt Element" w:eastAsia="Times New Roman" w:hAnsi="Artifakt Element" w:cs="Times New Roman"/>
          <w:b/>
          <w:bCs/>
          <w:sz w:val="24"/>
          <w:szCs w:val="24"/>
          <w:lang w:eastAsia="pt-BR"/>
        </w:rPr>
        <w:t>Conclusão</w:t>
      </w:r>
    </w:p>
    <w:p w14:paraId="71167ED4" w14:textId="77777777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A visita à Under Control trouxe práticas que podem ser aplicadas tanto por equipes novas quanto veteranas:</w:t>
      </w:r>
    </w:p>
    <w:p w14:paraId="070C87C6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Criar um processo estruturado para desenvolvimento após a divulgação do jogo; </w:t>
      </w:r>
    </w:p>
    <w:p w14:paraId="06C17B0B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Antes de inventar uma solução, estudar mecanismos utilizados em temporadas anteriores; </w:t>
      </w:r>
    </w:p>
    <w:p w14:paraId="479A0CBE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Desenvolver mais de uma proposta antes de escolher o robô definitivo; </w:t>
      </w:r>
    </w:p>
    <w:p w14:paraId="7BE7B441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esboços 3D para validar a interação entre os subsistemas; </w:t>
      </w:r>
    </w:p>
    <w:p w14:paraId="02FB1CA6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Definir o conceito do robô ainda na primeira semana; </w:t>
      </w:r>
    </w:p>
    <w:p w14:paraId="7686C9AB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Estabelecer prazos claros para CAD e fabricação; </w:t>
      </w:r>
    </w:p>
    <w:p w14:paraId="2BF39C43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Projetar considerando a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capacidade real de execução da equipe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; </w:t>
      </w:r>
    </w:p>
    <w:p w14:paraId="3BBE798D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Utilizar a Off-Season para capacitar novos integrantes; </w:t>
      </w:r>
    </w:p>
    <w:p w14:paraId="1549ED71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Capacitar alunos através de situações-problema, e não apenas por aulas isoladas; </w:t>
      </w:r>
    </w:p>
    <w:p w14:paraId="5026CC03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Incentivar os estudantes a pesquisar e construir sua própria linha de raciocínio; </w:t>
      </w:r>
    </w:p>
    <w:p w14:paraId="7B6D5F43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Fazer com que os mentores atuem como direcionadores do aprendizado, intervindo principalmente quando necessário; </w:t>
      </w:r>
    </w:p>
    <w:p w14:paraId="2DEC74D1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Desenvolver mentores e alunos com conhecimentos multidisciplinares; </w:t>
      </w:r>
    </w:p>
    <w:p w14:paraId="634A49EB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Explorar recursos avançados dos controladores e softwares utilizados; </w:t>
      </w:r>
    </w:p>
    <w:p w14:paraId="3402ADF7" w14:textId="77777777" w:rsidR="00596A87" w:rsidRPr="00596A87" w:rsidRDefault="00596A87" w:rsidP="00596A8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Trabalhar estratégias de controle que simplifiquem as decisões que o Driver precisa tomar durante uma partida. </w:t>
      </w:r>
    </w:p>
    <w:p w14:paraId="65D89E4A" w14:textId="0C95F1BF" w:rsidR="00596A87" w:rsidRPr="00596A87" w:rsidRDefault="00596A87" w:rsidP="00596A87">
      <w:pPr>
        <w:spacing w:before="100" w:beforeAutospacing="1" w:after="100" w:afterAutospacing="1" w:line="240" w:lineRule="auto"/>
        <w:jc w:val="both"/>
        <w:rPr>
          <w:rFonts w:ascii="Artifakt Element" w:eastAsia="Times New Roman" w:hAnsi="Artifakt Element" w:cs="Times New Roman"/>
          <w:sz w:val="20"/>
          <w:szCs w:val="20"/>
          <w:lang w:eastAsia="pt-BR"/>
        </w:rPr>
      </w:pP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Principal percepção: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 xml:space="preserve"> a Under Control apresenta um processo de desenvolvimento bastante estruturado, principalmente nas primeiras semanas da temporada. Um dos pontos mais relevantes é a preocupação em </w:t>
      </w:r>
      <w:r w:rsidRPr="00596A87">
        <w:rPr>
          <w:rFonts w:ascii="Artifakt Element" w:eastAsia="Times New Roman" w:hAnsi="Artifakt Element" w:cs="Times New Roman"/>
          <w:b/>
          <w:bCs/>
          <w:sz w:val="20"/>
          <w:szCs w:val="20"/>
          <w:lang w:eastAsia="pt-BR"/>
        </w:rPr>
        <w:t>não projetar um robô além da capacidade de execução da própria equipe</w:t>
      </w:r>
      <w:r w:rsidRPr="00596A87">
        <w:rPr>
          <w:rFonts w:ascii="Artifakt Element" w:eastAsia="Times New Roman" w:hAnsi="Artifakt Element" w:cs="Times New Roman"/>
          <w:sz w:val="20"/>
          <w:szCs w:val="20"/>
          <w:lang w:eastAsia="pt-BR"/>
        </w:rPr>
        <w:t>. Paralelamente, a metodologia utilizada para formação dos novos integrantes coloca os alunos diante de problemas reais e faz com que aprendam pesquisando e desenvolvendo soluções, com os mentores atuando principalmente como orientadores do processo.</w:t>
      </w:r>
    </w:p>
    <w:p w14:paraId="0549A479" w14:textId="77777777" w:rsidR="00127D00" w:rsidRPr="00596A87" w:rsidRDefault="00127D00" w:rsidP="00596A87">
      <w:pPr>
        <w:jc w:val="both"/>
        <w:rPr>
          <w:sz w:val="24"/>
          <w:szCs w:val="24"/>
        </w:rPr>
      </w:pPr>
    </w:p>
    <w:sectPr w:rsidR="00127D00" w:rsidRPr="00596A8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BED0C" w14:textId="77777777" w:rsidR="007F4269" w:rsidRDefault="007F4269" w:rsidP="00F905BA">
      <w:pPr>
        <w:spacing w:after="0" w:line="240" w:lineRule="auto"/>
      </w:pPr>
      <w:r>
        <w:separator/>
      </w:r>
    </w:p>
  </w:endnote>
  <w:endnote w:type="continuationSeparator" w:id="0">
    <w:p w14:paraId="4555EAE7" w14:textId="77777777" w:rsidR="007F4269" w:rsidRDefault="007F4269" w:rsidP="00F90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tifakt Element">
    <w:panose1 w:val="020B0503050000020004"/>
    <w:charset w:val="00"/>
    <w:family w:val="swiss"/>
    <w:pitch w:val="variable"/>
    <w:sig w:usb0="00000207" w:usb1="02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tifakt Element" w:hAnsi="Artifakt Element"/>
        <w:sz w:val="24"/>
        <w:szCs w:val="24"/>
      </w:rPr>
      <w:id w:val="-1032567809"/>
      <w:docPartObj>
        <w:docPartGallery w:val="Page Numbers (Bottom of Page)"/>
        <w:docPartUnique/>
      </w:docPartObj>
    </w:sdtPr>
    <w:sdtEndPr/>
    <w:sdtContent>
      <w:sdt>
        <w:sdtPr>
          <w:rPr>
            <w:rFonts w:ascii="Artifakt Element" w:hAnsi="Artifakt Element"/>
            <w:sz w:val="24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A54DBD" w14:textId="56965B55" w:rsidR="00F905BA" w:rsidRPr="00F905BA" w:rsidRDefault="00F905BA">
            <w:pPr>
              <w:pStyle w:val="Rodap"/>
              <w:jc w:val="right"/>
              <w:rPr>
                <w:rFonts w:ascii="Artifakt Element" w:hAnsi="Artifakt Element"/>
                <w:sz w:val="24"/>
                <w:szCs w:val="24"/>
              </w:rPr>
            </w:pPr>
            <w:r w:rsidRPr="00F905BA">
              <w:rPr>
                <w:rFonts w:ascii="Artifakt Element" w:hAnsi="Artifakt Element"/>
                <w:sz w:val="24"/>
                <w:szCs w:val="24"/>
              </w:rPr>
              <w:t xml:space="preserve">Página </w:t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instrText>PAGE</w:instrText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  <w:r w:rsidRPr="00F905BA">
              <w:rPr>
                <w:rFonts w:ascii="Artifakt Element" w:hAnsi="Artifakt Element"/>
                <w:sz w:val="24"/>
                <w:szCs w:val="24"/>
              </w:rPr>
              <w:t xml:space="preserve"> de </w:t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begin"/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instrText>NUMPAGES</w:instrText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separate"/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t>2</w:t>
            </w:r>
            <w:r w:rsidRPr="00F905BA">
              <w:rPr>
                <w:rFonts w:ascii="Artifakt Element" w:hAnsi="Artifakt Element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038BF9" w14:textId="77777777" w:rsidR="00F905BA" w:rsidRPr="00C04038" w:rsidRDefault="00F905BA" w:rsidP="00F905BA">
    <w:pPr>
      <w:pStyle w:val="Rodap"/>
      <w:rPr>
        <w:rFonts w:ascii="Artifakt Element" w:hAnsi="Artifakt Element"/>
        <w:i/>
        <w:iCs/>
        <w:sz w:val="24"/>
        <w:szCs w:val="24"/>
      </w:rPr>
    </w:pPr>
    <w:r w:rsidRPr="00C04038">
      <w:rPr>
        <w:rFonts w:ascii="Artifakt Element" w:hAnsi="Artifakt Element"/>
        <w:i/>
        <w:iCs/>
        <w:sz w:val="24"/>
        <w:szCs w:val="24"/>
      </w:rPr>
      <w:t>Djair Oliveira - SENAI 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FFE3E" w14:textId="77777777" w:rsidR="007F4269" w:rsidRDefault="007F4269" w:rsidP="00F905BA">
      <w:pPr>
        <w:spacing w:after="0" w:line="240" w:lineRule="auto"/>
      </w:pPr>
      <w:r>
        <w:separator/>
      </w:r>
    </w:p>
  </w:footnote>
  <w:footnote w:type="continuationSeparator" w:id="0">
    <w:p w14:paraId="50BB7EBB" w14:textId="77777777" w:rsidR="007F4269" w:rsidRDefault="007F4269" w:rsidP="00F90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18D32" w14:textId="021A79EB" w:rsidR="00403A54" w:rsidRDefault="00403A54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CC3D4FB" wp14:editId="06861C5D">
          <wp:simplePos x="0" y="0"/>
          <wp:positionH relativeFrom="margin">
            <wp:align>center</wp:align>
          </wp:positionH>
          <wp:positionV relativeFrom="paragraph">
            <wp:posOffset>-290195</wp:posOffset>
          </wp:positionV>
          <wp:extent cx="2194560" cy="630936"/>
          <wp:effectExtent l="0" t="0" r="0" b="0"/>
          <wp:wrapNone/>
          <wp:docPr id="10" name="Imagem 10" descr="Senai MT - Serviço Nacional de Aprendizagem Industr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Senai MT - Serviço Nacional de Aprendizagem Industri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4560" cy="6309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964181E" wp14:editId="5D0AB985">
          <wp:simplePos x="0" y="0"/>
          <wp:positionH relativeFrom="page">
            <wp:posOffset>6408420</wp:posOffset>
          </wp:positionH>
          <wp:positionV relativeFrom="paragraph">
            <wp:posOffset>-350520</wp:posOffset>
          </wp:positionV>
          <wp:extent cx="1036320" cy="1036320"/>
          <wp:effectExtent l="0" t="0" r="0" b="0"/>
          <wp:wrapNone/>
          <wp:docPr id="3" name="Imagem 3" descr="FRC Under Control · GitHu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FRC Under Control · GitHub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32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E78"/>
    <w:multiLevelType w:val="multilevel"/>
    <w:tmpl w:val="836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E417C"/>
    <w:multiLevelType w:val="multilevel"/>
    <w:tmpl w:val="CE3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8739F"/>
    <w:multiLevelType w:val="multilevel"/>
    <w:tmpl w:val="FBD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C35CC"/>
    <w:multiLevelType w:val="multilevel"/>
    <w:tmpl w:val="124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A217E4"/>
    <w:multiLevelType w:val="multilevel"/>
    <w:tmpl w:val="6712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A87"/>
    <w:rsid w:val="000C3CC9"/>
    <w:rsid w:val="00127D00"/>
    <w:rsid w:val="001C5F34"/>
    <w:rsid w:val="002A5D30"/>
    <w:rsid w:val="002D4ED0"/>
    <w:rsid w:val="00403A54"/>
    <w:rsid w:val="004873F4"/>
    <w:rsid w:val="00596A87"/>
    <w:rsid w:val="0065376C"/>
    <w:rsid w:val="007E22EB"/>
    <w:rsid w:val="007F4269"/>
    <w:rsid w:val="008A28FA"/>
    <w:rsid w:val="00A03EC2"/>
    <w:rsid w:val="00A725DF"/>
    <w:rsid w:val="00A94E03"/>
    <w:rsid w:val="00B22148"/>
    <w:rsid w:val="00B2457D"/>
    <w:rsid w:val="00B66087"/>
    <w:rsid w:val="00C12491"/>
    <w:rsid w:val="00D374FA"/>
    <w:rsid w:val="00E420C1"/>
    <w:rsid w:val="00E83AF0"/>
    <w:rsid w:val="00F90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619E2B"/>
  <w15:chartTrackingRefBased/>
  <w15:docId w15:val="{E5DB4723-6818-48F1-989B-E0D53477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96A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96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6A8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96A8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96A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6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03EC2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E83AF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E83AF0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E83AF0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E83AF0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905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05BA"/>
  </w:style>
  <w:style w:type="paragraph" w:styleId="Rodap">
    <w:name w:val="footer"/>
    <w:basedOn w:val="Normal"/>
    <w:link w:val="RodapChar"/>
    <w:uiPriority w:val="99"/>
    <w:unhideWhenUsed/>
    <w:rsid w:val="00F905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05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0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32E46-6639-4E14-8902-245820368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1407</Words>
  <Characters>7602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Djair Oliveira - GERENCIA DE EDUCACAO PROF E SUPERIOR</dc:creator>
  <cp:keywords/>
  <dc:description/>
  <cp:lastModifiedBy>Djair Oliveira - GERENCIA DE EDUCACAO PROF E SUPERIOR</cp:lastModifiedBy>
  <cp:revision>19</cp:revision>
  <cp:lastPrinted>2026-08-28T01:01:00Z</cp:lastPrinted>
  <dcterms:created xsi:type="dcterms:W3CDTF">2026-08-26T14:07:00Z</dcterms:created>
  <dcterms:modified xsi:type="dcterms:W3CDTF">2026-08-28T01:02:00Z</dcterms:modified>
</cp:coreProperties>
</file>