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 w:eastAsia="宋体"/>
          <w:b/>
          <w:sz w:val="32"/>
        </w:rPr>
        <w:t>个人信息保护影响评估报告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评估主体：福瑞笛（上海）信息咨询有限公司淮南分公司（FREDDY (SHANGHAI) INFORMATION CONSULTING LTD. HN）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评估日期：____年____月____日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6"/>
        </w:rPr>
        <w:t>一、评估背景与依据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依据《中华人民共和国个人信息保护法》第三十八条、第五十五条以及《个人信息出境标准合同办法》第五条，福瑞笛（上海）信息咨询有限公司淮南分公司（以下简称"福瑞笛"）就其向境外接收方 LIVANTO GmbH（以下简称"LIVANTO"）提供个人信息开展个人信息保护影响评估。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6"/>
        </w:rPr>
        <w:t>二、个人信息出境基本情况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（一）个人信息处理者（出境方）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名称：福瑞笛（上海）信息咨询有限公司淮南分公司（FREDDY (SHANGHAI) INFORMATION CONSULTING LTD. HN）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地址：安徽省淮南市中环国际广场158金融中心四层418室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统一社会信用代码：91340400MADDK97K4X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负责人：桂程程</w:t>
      </w:r>
    </w:p>
    <w:p>
      <w:pPr>
        <w:spacing w:after="80"/>
      </w:pP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（二）境外接收方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名称：LIVANTO GmbH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地址：德国多特蒙德 Luisenhoffnung 3C（邮编 44225）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商业登记号：HRB 38628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增值税识别号：DE 464031041</w:t>
      </w:r>
    </w:p>
    <w:p>
      <w:pPr>
        <w:spacing w:after="80"/>
      </w:pP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（三）出境个人信息的情况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个人信息主体类别：客户（中国制造商）的联系人及法定代表人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个人信息种类：姓名、公司名称、地址、电子邮箱、电话号码、微信号、税号、包装数据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敏感个人信息：无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处理目的：履行德国《包装法》授权代表服务（LUCID 注册、双元系统参与、数据申报、完整性声明）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处理方式：个人信息的电子化记录、存储与传输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传输频率：持续、按需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保存期限：客户授权代表合同存续期间及法定保存义务期间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保存地点：德国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出境规模：自上年1月1日起累计向境外提供个人信息不满 10 万人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6"/>
        </w:rPr>
        <w:t>三、合法性、正当性、必要性评估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（一）合法性：福瑞笛基于与客户签订的授权代表合同收集个人信息，并依据《个人信息保护法》第三十九条取得个人信息主体的单独同意；向境外提供个人信息依据《个人信息保护法》第三十八条，通过与境外接收方订立《个人信息出境标准合同》的方式进行。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（二）正当性：向境外提供个人信息是为客户履行德国包装法合规义务所必需，处理目的正当、明确。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（三）必要性：出境个人信息限于实现授权代表服务目的所需的最小范围，未超出必要限度。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6"/>
        </w:rPr>
        <w:t>四、出境风险及对个人权益的影响评估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（一）出境个人信息均为一般个人信息（不含敏感个人信息），规模小、敏感程度低。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（二）可能存在的风险：跨境传输过程中数据被篡改、破坏、泄露、丢失、非法利用的风险；个人信息主体维权不便的风险。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（三）综合风险等级：低。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6"/>
        </w:rPr>
        <w:t>五、境外接收方保障能力评估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（一）LIVANTO 为德国注册的有限责任公司，受欧盟《通用数据保护条例》（GDPR）约束，所在地区个人信息保护水平较高。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（二）LIVANTO 承诺依据标准合同条款处理个人信息，采取数据传输加密（TLS）、访问与权限控制、最小授权、删除方案、防止未经授权访问等技术与组织措施。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（三）双方已订立《个人信息出境标准合同》，明确境外接收方的义务及个人信息主体的第三方受益权。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6"/>
        </w:rPr>
        <w:t>六、出境后安全风险及维权渠道评估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（一）LIVANTO 采取加密传输、访问控制等措施，有效降低出境个人信息被篡改、破坏、泄露、丢失、非法利用的风险。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（二）个人信息主体可依据标准合同约定的第三方受益权，向福瑞笛或 LIVANTO 主张权利，亦可向监管机构投诉或向有管辖权的法院提起诉讼，维权渠道畅通。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6"/>
        </w:rPr>
        <w:t>七、境外接收方所在国法律政策影响评估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（一）德国作为欧盟成员国，适用 GDPR，赋予个人信息主体充分的权利，个人信息保护水平高。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（二）德国现行法律政策不影响 LIVANTO 履行标准合同义务；如相关法律政策发生变化并可能影响履约，LIVANTO 应立即通知福瑞笛。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6"/>
        </w:rPr>
        <w:t>八、其他事项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无其他可能影响个人信息出境安全的事项。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6"/>
        </w:rPr>
        <w:t>九、评估结论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经评估，福瑞笛向 LIVANTO 提供个人信息的目的、范围、方式合法、正当、必要；出境个人信息规模小、敏感程度低；境外接收方具备充分的保障能力；出境风险可控。福瑞笛可以依据《个人信息保护法》第三十八条，通过与 LIVANTO 订立《个人信息出境标准合同》的方式向境外提供个人信息，并依规定向所在地省级网信部门备案。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评估人（签字）：____________________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日期：____年____月____日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