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(SHANGHAI) INFORMATION CONSULTING LTD., Zweigniederlassung Huainan, Nr. 21, Longhu Road, Huainan, Anhui, Volksrepublik China, handelnd durch ihre Hauptniederlassung FREDDY (SHANGHAI) INFORMATION CONSULTING LTD.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福瑞笛（上海）信息咨询有限公司淮南分公司，地址：中华人民共和国安徽省淮南市龙湖路21号，由其总公司福瑞笛（上海）信息咨询有限公司授权行事</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GmbH, Luisenhoffnung 3C, 44225 Dortmund, Deutschland, eingetragen im Handelsregister des Amtsgerichts Dortmund unter HRB 38628, Umsatzsteuer-Identifikationsnummer DE 464031041, vertreten durch ihren Geschäftsführer Zifeng Qian,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有限责任公司，地址：德国多特蒙德 Luisenhoffnung 3C（邮编 44225），于多特蒙德地方法院商业登记处登记（登记号 HRB 38628），增值税识别号 DE 464031041，由总经理钱子风代表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FREDDY und LIVANTO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福瑞笛与 LIVANTO 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handelt als Zweigniederlassung Huainan der FREDDY (SHANGHAI) INFORMATION CONSULTING LTD. und ist von ihrer Hauptniederlassung zur Unterzeichnung und Durchführung dieser Vereinbarung ermächtigt.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福瑞笛作为福瑞笛（上海）信息咨询有限公司的淮南分公司行事，并获其总公司授权签署和履行本合同。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在德国设有符合《营业条例》（GewO）第4条第3款规定的经营机构，并已在包装品登记处 LUCID 注册为授权代表（授权代表ID：DE8514687609035）。</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LIVANTO in tatsächlicher Höhe ohne Aufschlag an die jeweiligen dualen Systeme weitergeleitet.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LIVANTO 按实际金额、不加价转付给相应双元系统。</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sind nicht Gegenstand der Umsatzbeteiligung; sie stehen derjenigen Partei zu, die die jeweilige Leistung erbringt und die damit verbundenen Kosten trägt.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分类申请、完整性声明手续费、催款费等）不属于营收分成对象，归实际提供相应服务并承担相关成本的一方所有。</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FREDDY stellt sicher, dass LIVANTO den Betrag in Euro gutgeschrieben erhält.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LIVANTO。福瑞笛应确保 LIVANTO 以欧元到账。就基础服务等级（29.00欧元/年）而言，相当于每个客户每年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Für die Umrechnung von CNY in EUR gilt der Wechselkurs am Tag der Überweisung, mindestens jedoch der Devisenmittelkurs der Bank of China an diesem Tag.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人民币兑换欧元的汇率按转账当日的汇率计算，且不低于当日中国银行外汇中间价。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1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福瑞笛以诚实商人的审慎履行第3条第1款所述服务。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2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专业、合规地履行第3条第2款所述服务，并符合现行包装法规定。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Soweit personenbezogene Daten zwischen der Volksrepublik China und Deutschland übermittelt werden, erfolgt dies auf Grundlage der EU-Standardvertragsklauseln gemäß Durchführungsbeschluss (EU) 2021/914 der Europäischen Kommission (SCC) sowie ergänzend der geltenden chinesischen Datenschutzbestimmungen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凡个人数据在中华人民共和国与德国之间传输，基于欧盟委员会执行决定 (EU) 2021/914 项下的欧盟标准合同条款（SCC），并补充适用中国《个人信息保护法》（PIPL）的相关规定。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durch beide Parteien in Kraft und wird auf unbestimmte Zeit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本合同自双方签署之日起生效，无固定期限。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Jede Partei kann diese Vereinbarung mit einer Frist von drei Monaten zum Ende eines Kalenderquartals schriftlich kündigen.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任何一方可提前三个月、于自然季度末书面通知终止本合同。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