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5192"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5192"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5192"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[Firmenname des Kunden — wird bei Vertragsschluss ausgefüllt]</w:t>
            </w:r>
          </w:p>
        </w:tc>
        <w:tc>
          <w:tcPr>
            <w:tcW w:w="5192"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[客户公司名称 — 签约时填写]</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[Adresse]</w:t>
            </w:r>
          </w:p>
        </w:tc>
        <w:tc>
          <w:tcPr>
            <w:tcW w:w="5192"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地址：[地址]</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[falls vorhanden]</w:t>
            </w:r>
          </w:p>
        </w:tc>
        <w:tc>
          <w:tcPr>
            <w:tcW w:w="5192"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增值税号：[如有]</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E-Mail: [E-Mail-Adresse]</w:t>
            </w:r>
          </w:p>
        </w:tc>
        <w:tc>
          <w:tcPr>
            <w:tcW w:w="5192"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电子邮箱：[邮箱地址]</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5192"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5192"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5192"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5192"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5192"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5192"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5192"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5192"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5192"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5192"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5192"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5192"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5192"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5192"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5192"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5192"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5192"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5192"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04BA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AA11A97">
            <w:pPr>
              <w:spacing w:before="20" w:after="20"/>
            </w:pPr>
            <w:r>
              <w:rPr>
                <w:rFonts w:ascii="Times New Roman" w:hAnsi="Times New Roman" w:eastAsia="Times New Roman" w:cs="Times New Roman"/>
                <w:b w:val="0"/>
                <w:bCs w:val="0"/>
                <w:sz w:val="21"/>
                <w:szCs w:val="21"/>
              </w:rPr>
              <w:t>(6) Eine Lizenzierung von Markenrechten (z. B. „Der Grüne Punkt") ist nicht Gegenstand dieses Vertrages.</w:t>
            </w:r>
          </w:p>
        </w:tc>
        <w:tc>
          <w:tcPr>
            <w:tcW w:w="5192" w:type="dxa"/>
            <w:tcBorders>
              <w:top w:val="nil"/>
              <w:left w:val="nil"/>
              <w:bottom w:val="nil"/>
              <w:right w:val="nil"/>
            </w:tcBorders>
            <w:tcMar>
              <w:top w:w="10" w:type="dxa"/>
              <w:left w:w="80" w:type="dxa"/>
              <w:bottom w:w="10" w:type="dxa"/>
              <w:right w:w="0" w:type="dxa"/>
            </w:tcMar>
          </w:tcPr>
          <w:p w14:paraId="22B1F7A5">
            <w:pPr>
              <w:spacing w:before="20" w:after="20"/>
            </w:pPr>
            <w:r>
              <w:rPr>
                <w:rFonts w:ascii="宋体" w:hAnsi="宋体" w:eastAsia="宋体" w:cs="宋体"/>
                <w:b w:val="0"/>
                <w:bCs w:val="0"/>
                <w:sz w:val="21"/>
                <w:szCs w:val="21"/>
              </w:rPr>
              <w:t>(6) 商标使用许可（如"绿点"标识）不属于本合同标的。</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(7)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5192"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(7)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5192"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5192"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(3) Der Kunde übermittelt dem Bevollmächtigten jährlich bis zum 15. Februar des Folgejahres vollständige und wahrheitsgemäße Angaben zu allen im vorangegangenen Kalenderjahr in Verkehr gebrachten Verpackungen, aufgeschlüsselt nach Materialfraktionen und Verpackungskategorien.</w:t>
            </w:r>
          </w:p>
        </w:tc>
        <w:tc>
          <w:tcPr>
            <w:tcW w:w="5192"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客户每年应在次年2月15日前向授权代表提供上一日历年投放市场的所有包装的完整真实数据，按材料类别和包装类别细分。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5192"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5192"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5192"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5192"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5192"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5192"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5192"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5192"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5192"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5192"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(2) Die jährliche Ist-Mengen-Meldung erfolgt bis zum 15. Februar des Folgejahres über das Online-Portal des Bevollmächtigten.</w:t>
            </w:r>
          </w:p>
        </w:tc>
        <w:tc>
          <w:tcPr>
            <w:tcW w:w="5192"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年度实际数量申报截止日期为次年2月15日，通过授权代表的在线门户提交。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5192"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5192"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5192"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5192"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5192"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5192"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5192"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5192"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5192"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5192"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5192"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5192"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5192"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5192"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5192"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5192"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5192"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EF2E8F2">
            <w:pPr>
              <w:spacing w:before="20" w:after="20"/>
            </w:pPr>
            <w:r>
              <w:rPr>
                <w:rFonts w:ascii="Times New Roman" w:hAnsi="Times New Roman" w:eastAsia="Times New Roman" w:cs="Times New Roman"/>
                <w:b w:val="0"/>
                <w:bCs w:val="0"/>
                <w:sz w:val="21"/>
                <w:szCs w:val="21"/>
              </w:rPr>
              <w:t>(1) 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Sätze 2 bis 5 gelten entsprechend.</w:t>
            </w:r>
          </w:p>
        </w:tc>
        <w:tc>
          <w:tcPr>
            <w:tcW w:w="5192" w:type="dxa"/>
            <w:tcBorders>
              <w:top w:val="nil"/>
              <w:left w:val="nil"/>
              <w:bottom w:val="nil"/>
              <w:right w:val="nil"/>
            </w:tcBorders>
            <w:tcMar>
              <w:top w:w="10" w:type="dxa"/>
              <w:left w:w="80" w:type="dxa"/>
              <w:bottom w:w="10" w:type="dxa"/>
              <w:right w:w="0" w:type="dxa"/>
            </w:tcMar>
          </w:tcPr>
          <w:p w14:paraId="4FBFB008">
            <w:pPr>
              <w:spacing w:before="20" w:after="20"/>
            </w:pPr>
            <w:r>
              <w:rPr>
                <w:rFonts w:ascii="宋体" w:hAnsi="宋体" w:eastAsia="宋体" w:cs="宋体"/>
                <w:b w:val="0"/>
                <w:bCs w:val="0"/>
                <w:sz w:val="21"/>
                <w:szCs w:val="21"/>
              </w:rPr>
              <w:t>(1) 客户对其所提供数据的正确性、完整性和及时性承担无限责任。客户应赔偿授权代表因客户数据错误、不完整或延迟而产生的所有第三方索赔。第3条第6款第2至第5句相应适用。</w:t>
            </w: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5192"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5192"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5192"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5192"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5192"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(2) Der Vertrag verlängert sich automatisch um jeweils weitere 12 Monate, sofern er nicht mit einer Frist von 4 Wochen zum Ende der jeweiligen Vertragslaufzeit schriftlich gekündigt wird.</w:t>
            </w:r>
          </w:p>
        </w:tc>
        <w:tc>
          <w:tcPr>
            <w:tcW w:w="5192"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合同自动续期12个月，除非任何一方在合同到期前4周书面通知终止。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5192"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FC272E7">
            <w:pPr>
              <w:spacing w:before="20" w:after="20"/>
            </w:pPr>
            <w:r>
              <w:rPr>
                <w:rFonts w:ascii="Times New Roman" w:hAnsi="Times New Roman" w:eastAsia="Times New Roman" w:cs="Times New Roman"/>
                <w:b w:val="0"/>
                <w:bCs w:val="0"/>
                <w:sz w:val="21"/>
                <w:szCs w:val="21"/>
              </w:rPr>
              <w:t>(4) Ein wichtiger Grund für den Bevollmächtigten liegt insbesondere vor bei: (a) Zahlungsverzug von mehr als 30 Tagen, (b) wiederholter Nichtvorlage der geschuldeten Verpackungsdaten, (c) Entzug des LUCID-Zugangs durch den Kunden.</w:t>
            </w:r>
          </w:p>
        </w:tc>
        <w:tc>
          <w:tcPr>
            <w:tcW w:w="5192" w:type="dxa"/>
            <w:tcBorders>
              <w:top w:val="nil"/>
              <w:left w:val="nil"/>
              <w:bottom w:val="nil"/>
              <w:right w:val="nil"/>
            </w:tcBorders>
            <w:tcMar>
              <w:top w:w="10" w:type="dxa"/>
              <w:left w:w="80" w:type="dxa"/>
              <w:bottom w:w="10" w:type="dxa"/>
              <w:right w:w="0" w:type="dxa"/>
            </w:tcMar>
          </w:tcPr>
          <w:p w14:paraId="18BB80BF">
            <w:pPr>
              <w:spacing w:before="20" w:after="20"/>
            </w:pPr>
            <w:r>
              <w:rPr>
                <w:rFonts w:ascii="宋体" w:hAnsi="宋体" w:eastAsia="宋体" w:cs="宋体"/>
                <w:b w:val="0"/>
                <w:bCs w:val="0"/>
                <w:sz w:val="21"/>
                <w:szCs w:val="21"/>
              </w:rPr>
              <w:t>(4) 授权代表的重大终止事由特别包括：(a) 逾期付款超过30天，(b) 多次未提交应提交的包装数据，(c)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5192"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5192"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5192"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5192"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5192"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5192"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5192"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5192"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5192"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5192"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5192"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5192"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5192"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5192"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5192"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5192"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5192"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5192"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5192"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5192"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5192"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5192"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1"/>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5192"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5192"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1"/>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555"/>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800"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555"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800"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555"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800"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555"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800"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555"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5192"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5192"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5192"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5192"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5192"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1"/>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5192"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5192"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5192"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5192"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1"/>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5192"/>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5192"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5192"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useFELayout/>
    <w:compatSetting w:name="compatibilityMode" w:uri="http://schemas.microsoft.com/office/word" w:val="15"/>
  </w:compat>
  <w:rsids>
    <w:rsidRoot w:val="00000000"/>
    <w:rsid w:val="48F843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2798</Words>
  <Characters>8791</Characters>
  <TotalTime>4</TotalTime>
  <ScaleCrop>false</ScaleCrop>
  <LinksUpToDate>false</LinksUpToDate>
  <CharactersWithSpaces>9785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2026-06-25T19:36:47Z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